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年度中央财政衔接推进乡村振兴补助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资金分配方案 </w:t>
      </w: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关于提前下达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年中央财政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的通知》(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财农指〔20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号)文件精神</w:t>
      </w:r>
      <w:r>
        <w:rPr>
          <w:rFonts w:hint="eastAsia" w:ascii="仿宋_GB2312" w:hAnsi="仿宋_GB2312" w:eastAsia="仿宋_GB2312" w:cs="仿宋_GB2312"/>
          <w:szCs w:val="32"/>
        </w:rPr>
        <w:t>，202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</w:rPr>
        <w:t>年中央财政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290</w:t>
      </w:r>
      <w:r>
        <w:rPr>
          <w:rFonts w:hint="eastAsia" w:ascii="仿宋_GB2312" w:hAnsi="仿宋_GB2312" w:eastAsia="仿宋_GB2312" w:cs="仿宋_GB2312"/>
          <w:szCs w:val="32"/>
        </w:rPr>
        <w:t>万元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下达至我县</w:t>
      </w:r>
      <w:r>
        <w:rPr>
          <w:rFonts w:hint="eastAsia" w:ascii="仿宋_GB2312" w:hAnsi="仿宋_GB2312" w:eastAsia="仿宋_GB2312" w:cs="仿宋_GB2312"/>
          <w:szCs w:val="32"/>
        </w:rPr>
        <w:t>。为巩固拓展脱贫攻坚成果、衔接推进乡村振兴，用好该项目补助资金，根据上级文件要求及各乡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实际需求</w:t>
      </w:r>
      <w:r>
        <w:rPr>
          <w:rFonts w:hint="eastAsia" w:ascii="仿宋_GB2312" w:hAnsi="仿宋_GB2312" w:eastAsia="仿宋_GB2312" w:cs="仿宋_GB2312"/>
          <w:szCs w:val="32"/>
        </w:rPr>
        <w:t>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Cs w:val="32"/>
        </w:rPr>
        <w:t>安排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</w:rPr>
        <w:t>年中央财政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tabs>
          <w:tab w:val="left" w:pos="5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hint="eastAsia" w:ascii="黑体" w:eastAsia="黑体"/>
          <w:b/>
          <w:color w:val="auto"/>
          <w:lang w:val="en-US" w:eastAsia="zh-CN"/>
        </w:rPr>
      </w:pPr>
      <w:r>
        <w:rPr>
          <w:rFonts w:hint="eastAsia" w:ascii="黑体" w:eastAsia="黑体"/>
          <w:b/>
          <w:color w:val="auto"/>
        </w:rPr>
        <w:t>一、</w:t>
      </w:r>
      <w:r>
        <w:rPr>
          <w:rFonts w:hint="eastAsia" w:ascii="黑体" w:eastAsia="黑体"/>
          <w:b/>
          <w:color w:val="auto"/>
          <w:lang w:val="en-US" w:eastAsia="zh-CN"/>
        </w:rPr>
        <w:t>支持培育和壮大特色优势产业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1.支持新型农业经营主体(带动脱贫户5户以上)带动脱贫户发展生产、稳定就业，每带动1户补助5000元，每个经营主体(项目)补助金额最高不超过50万元。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2.支持脱贫户、监测对象自主经营、自主创业，发展特色优势农业、农产品加工业、休闲农业(“农家乐”)、森林旅游、电子商务、流通配送等项目，每户补助金额不超过10000元。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3.支持各乡镇、村开发农村公益性岗位吸纳脱贫劳动力、监测对象就地就近就业，每吸纳1个脱贫劳动力(稳定就业半年以上，工资发放不低于6000元)补助5000元。</w:t>
      </w:r>
    </w:p>
    <w:p>
      <w:pPr>
        <w:keepNext w:val="0"/>
        <w:keepLines w:val="0"/>
        <w:pageBreakBefore w:val="0"/>
        <w:widowControl w:val="0"/>
        <w:tabs>
          <w:tab w:val="left" w:pos="5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/>
        <w:textAlignment w:val="auto"/>
        <w:rPr>
          <w:rFonts w:hint="eastAsia" w:ascii="黑体" w:eastAsia="黑体"/>
          <w:b/>
          <w:color w:val="auto"/>
          <w:lang w:val="en-US" w:eastAsia="zh-CN"/>
        </w:rPr>
      </w:pPr>
      <w:r>
        <w:rPr>
          <w:rFonts w:hint="eastAsia" w:ascii="黑体" w:eastAsia="黑体"/>
          <w:b/>
          <w:color w:val="auto"/>
          <w:lang w:val="en-US" w:eastAsia="zh-CN"/>
        </w:rPr>
        <w:t>二、支持补齐基础设施短板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支持2个村补齐必要的农村人居环境整治和小型公益性基础设施建设短板，每村50万元。主要用于水、电、路、网等农业生产配套设施，以及垃圾清运等小型公益性生活设施建设。每个村实施的具体项目由县级根据实际情况确定，并确保年内完成项目建设。</w:t>
      </w:r>
    </w:p>
    <w:p>
      <w:pPr>
        <w:pStyle w:val="3"/>
        <w:spacing w:line="59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202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年度中央财政衔接推进乡村振兴补助资金分配表</w:t>
      </w:r>
    </w:p>
    <w:p>
      <w:pPr>
        <w:spacing w:line="590" w:lineRule="exact"/>
        <w:jc w:val="right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</w:t>
      </w:r>
    </w:p>
    <w:tbl>
      <w:tblPr>
        <w:tblStyle w:val="5"/>
        <w:tblW w:w="8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233"/>
        <w:gridCol w:w="2250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乡镇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支持脱贫人口发展生产稳定增收</w:t>
            </w:r>
          </w:p>
        </w:tc>
        <w:tc>
          <w:tcPr>
            <w:tcW w:w="22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支持农村公益性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支持补齐基础设施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短板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城关镇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梅仙镇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2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联合镇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2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西滨镇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2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洋中镇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2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4.5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汤川乡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2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7.5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丘山村50万元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溪尾乡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2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2.5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中仙镇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2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台溪乡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2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坂面镇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2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新阳镇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2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10.5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管前镇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2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7.5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  <w:t>绿柳村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八字桥乡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2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西城镇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2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114</w:t>
            </w:r>
          </w:p>
        </w:tc>
        <w:tc>
          <w:tcPr>
            <w:tcW w:w="22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76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ODlmZTU2ZTMyNTQxNjI3YTZiODUxMjEwNjc4NjYifQ=="/>
  </w:docVars>
  <w:rsids>
    <w:rsidRoot w:val="00000000"/>
    <w:rsid w:val="02F16572"/>
    <w:rsid w:val="0FE16FFE"/>
    <w:rsid w:val="10AF0EAA"/>
    <w:rsid w:val="11FF551A"/>
    <w:rsid w:val="121B77B9"/>
    <w:rsid w:val="19404D95"/>
    <w:rsid w:val="1A9626CD"/>
    <w:rsid w:val="21EE291F"/>
    <w:rsid w:val="221E61E4"/>
    <w:rsid w:val="2E501D78"/>
    <w:rsid w:val="30A567B5"/>
    <w:rsid w:val="31B92820"/>
    <w:rsid w:val="34DB19BE"/>
    <w:rsid w:val="39EE7A9E"/>
    <w:rsid w:val="3B0F4170"/>
    <w:rsid w:val="407641FC"/>
    <w:rsid w:val="414A4154"/>
    <w:rsid w:val="455C246B"/>
    <w:rsid w:val="45AB1C1B"/>
    <w:rsid w:val="4748081B"/>
    <w:rsid w:val="49920446"/>
    <w:rsid w:val="4A183041"/>
    <w:rsid w:val="563E1A6D"/>
    <w:rsid w:val="56504FF4"/>
    <w:rsid w:val="576A47B0"/>
    <w:rsid w:val="5C0351D3"/>
    <w:rsid w:val="633E5DDF"/>
    <w:rsid w:val="67523AC3"/>
    <w:rsid w:val="69117181"/>
    <w:rsid w:val="697A13ED"/>
    <w:rsid w:val="73FA3C41"/>
    <w:rsid w:val="77997630"/>
    <w:rsid w:val="78244A5D"/>
    <w:rsid w:val="79ED6E4F"/>
    <w:rsid w:val="7B0B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autoRedefine/>
    <w:qFormat/>
    <w:uiPriority w:val="0"/>
    <w:rPr>
      <w:szCs w:val="22"/>
    </w:rPr>
  </w:style>
  <w:style w:type="paragraph" w:styleId="3">
    <w:name w:val="Balloon Text"/>
    <w:basedOn w:val="1"/>
    <w:autoRedefine/>
    <w:qFormat/>
    <w:uiPriority w:val="0"/>
    <w:rPr>
      <w:rFonts w:eastAsia="仿宋_GB231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1847</Words>
  <Characters>2026</Characters>
  <Lines>0</Lines>
  <Paragraphs>0</Paragraphs>
  <TotalTime>0</TotalTime>
  <ScaleCrop>false</ScaleCrop>
  <LinksUpToDate>false</LinksUpToDate>
  <CharactersWithSpaces>2029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2023-02-28T02:23:00Z</dcterms:created>
  <dc:creator>Administrator</dc:creator>
  <cp:lastModifiedBy>Administrator</cp:lastModifiedBy>
  <cp:lastPrinted>2023-02-28T07:32:00Z</cp:lastPrinted>
  <dcterms:modified xsi:type="dcterms:W3CDTF">2024-03-13T00:45:19Z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D1D703205C4B45379CF4EB75F769EC2B_13</vt:lpwstr>
  </property>
</Properties>
</file>