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277184">
      <w:pPr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2024年度尤溪县中央财政</w:t>
      </w:r>
    </w:p>
    <w:p w14:paraId="75773A62">
      <w:pPr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林业草原改革发展资金绩效自评报告</w:t>
      </w:r>
    </w:p>
    <w:p w14:paraId="64568A21">
      <w:pPr>
        <w:spacing w:line="260" w:lineRule="exact"/>
        <w:jc w:val="center"/>
        <w:rPr>
          <w:rFonts w:ascii="仿宋_GB2312" w:hAnsi="黑体" w:eastAsia="仿宋_GB2312"/>
          <w:b/>
          <w:bCs/>
          <w:sz w:val="32"/>
          <w:szCs w:val="32"/>
        </w:rPr>
      </w:pPr>
    </w:p>
    <w:p w14:paraId="1A2A8241">
      <w:pPr>
        <w:ind w:firstLine="640" w:firstLineChars="200"/>
        <w:jc w:val="left"/>
        <w:rPr>
          <w:rFonts w:ascii="仿宋_GB2312" w:hAnsi="方正小标宋简体" w:eastAsia="仿宋_GB2312" w:cs="方正小标宋简体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为加强</w:t>
      </w:r>
      <w:bookmarkStart w:id="0" w:name="OLE_LINK6"/>
      <w:bookmarkStart w:id="1" w:name="OLE_LINK5"/>
      <w:bookmarkStart w:id="2" w:name="OLE_LINK1"/>
      <w:bookmarkStart w:id="3" w:name="OLE_LINK2"/>
      <w:r>
        <w:rPr>
          <w:rFonts w:hint="eastAsia" w:ascii="仿宋_GB2312" w:hAnsi="仿宋" w:eastAsia="仿宋_GB2312" w:cs="仿宋_GB2312"/>
          <w:sz w:val="32"/>
          <w:szCs w:val="32"/>
        </w:rPr>
        <w:t>中央财政</w:t>
      </w:r>
      <w:r>
        <w:rPr>
          <w:rFonts w:hint="eastAsia" w:ascii="仿宋_GB2312" w:hAnsi="方正小标宋简体" w:eastAsia="仿宋_GB2312" w:cs="方正小标宋简体"/>
          <w:sz w:val="32"/>
          <w:szCs w:val="32"/>
        </w:rPr>
        <w:t>林业草原改革发展</w:t>
      </w:r>
      <w:r>
        <w:rPr>
          <w:rFonts w:hint="eastAsia" w:ascii="仿宋_GB2312" w:hAnsi="仿宋" w:eastAsia="仿宋_GB2312" w:cs="仿宋_GB2312"/>
          <w:sz w:val="32"/>
          <w:szCs w:val="32"/>
        </w:rPr>
        <w:t>资金</w:t>
      </w:r>
      <w:bookmarkEnd w:id="0"/>
      <w:bookmarkEnd w:id="1"/>
      <w:bookmarkEnd w:id="2"/>
      <w:bookmarkEnd w:id="3"/>
      <w:r>
        <w:rPr>
          <w:rFonts w:hint="eastAsia" w:ascii="仿宋_GB2312" w:hAnsi="仿宋" w:eastAsia="仿宋_GB2312" w:cs="仿宋_GB2312"/>
          <w:sz w:val="32"/>
          <w:szCs w:val="32"/>
        </w:rPr>
        <w:t>管理，提高资金使用效益，我局认真组织对2024年度中央财政</w:t>
      </w:r>
      <w:r>
        <w:rPr>
          <w:rFonts w:hint="eastAsia" w:ascii="仿宋_GB2312" w:hAnsi="方正小标宋简体" w:eastAsia="仿宋_GB2312" w:cs="方正小标宋简体"/>
          <w:sz w:val="32"/>
          <w:szCs w:val="32"/>
        </w:rPr>
        <w:t>林业草原改革发展</w:t>
      </w:r>
      <w:r>
        <w:rPr>
          <w:rFonts w:hint="eastAsia" w:ascii="仿宋_GB2312" w:hAnsi="仿宋" w:eastAsia="仿宋_GB2312" w:cs="仿宋_GB2312"/>
          <w:sz w:val="32"/>
          <w:szCs w:val="32"/>
        </w:rPr>
        <w:t>资金绩效开展自评，现将有关情况报告如下：</w:t>
      </w:r>
    </w:p>
    <w:p w14:paraId="6CC67A5A">
      <w:pPr>
        <w:spacing w:line="590" w:lineRule="exact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 xml:space="preserve">  </w:t>
      </w:r>
      <w:r>
        <w:rPr>
          <w:rFonts w:hint="eastAsia" w:ascii="仿宋_GB2312" w:hAnsi="楷体_GB2312" w:eastAsia="仿宋_GB2312" w:cs="楷体_GB2312"/>
          <w:b/>
          <w:bCs/>
          <w:sz w:val="32"/>
          <w:szCs w:val="32"/>
        </w:rPr>
        <w:t xml:space="preserve">  一、绩效目标分解下达情况</w:t>
      </w:r>
    </w:p>
    <w:p w14:paraId="6CBF1917">
      <w:pPr>
        <w:ind w:firstLine="480" w:firstLineChars="15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 xml:space="preserve">    （一）</w:t>
      </w:r>
      <w:r>
        <w:rPr>
          <w:rFonts w:hint="eastAsia" w:ascii="仿宋_GB2312" w:hAnsi="仿宋" w:eastAsia="仿宋_GB2312" w:cs="仿宋_GB2312"/>
          <w:sz w:val="32"/>
          <w:szCs w:val="32"/>
        </w:rPr>
        <w:t>中央财政</w:t>
      </w:r>
      <w:r>
        <w:rPr>
          <w:rFonts w:hint="eastAsia" w:ascii="仿宋_GB2312" w:hAnsi="方正小标宋简体" w:eastAsia="仿宋_GB2312" w:cs="方正小标宋简体"/>
          <w:sz w:val="32"/>
          <w:szCs w:val="32"/>
        </w:rPr>
        <w:t>林业草原改革发展</w:t>
      </w:r>
      <w:r>
        <w:rPr>
          <w:rFonts w:hint="eastAsia" w:ascii="仿宋_GB2312" w:hAnsi="仿宋" w:eastAsia="仿宋_GB2312" w:cs="仿宋_GB2312"/>
          <w:sz w:val="32"/>
          <w:szCs w:val="32"/>
        </w:rPr>
        <w:t>资金下达情况。2024年度下达我县中央财政</w:t>
      </w:r>
      <w:r>
        <w:rPr>
          <w:rFonts w:hint="eastAsia" w:ascii="仿宋_GB2312" w:hAnsi="方正小标宋简体" w:eastAsia="仿宋_GB2312" w:cs="方正小标宋简体"/>
          <w:sz w:val="32"/>
          <w:szCs w:val="32"/>
        </w:rPr>
        <w:t>林业草原改革发展</w:t>
      </w:r>
      <w:r>
        <w:rPr>
          <w:rFonts w:hint="eastAsia" w:ascii="仿宋_GB2312" w:hAnsi="仿宋" w:eastAsia="仿宋_GB2312" w:cs="仿宋_GB2312"/>
          <w:sz w:val="32"/>
          <w:szCs w:val="32"/>
        </w:rPr>
        <w:t>资金3985.6万元，其中：其他国土绿化（造林和森林质量提升）资金3487万元，其他国土绿化（森林可持续经营试点）资金114.1万元，森林防火补助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资金</w:t>
      </w:r>
      <w:r>
        <w:rPr>
          <w:rFonts w:hint="eastAsia" w:ascii="仿宋_GB2312" w:hAnsi="仿宋" w:eastAsia="仿宋_GB2312" w:cs="仿宋_GB2312"/>
          <w:sz w:val="32"/>
          <w:szCs w:val="32"/>
        </w:rPr>
        <w:t>10万元，林业有害生物防治补助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资金</w:t>
      </w:r>
      <w:r>
        <w:rPr>
          <w:rFonts w:hint="eastAsia" w:ascii="仿宋_GB2312" w:hAnsi="仿宋" w:eastAsia="仿宋_GB2312" w:cs="仿宋_GB2312"/>
          <w:sz w:val="32"/>
          <w:szCs w:val="32"/>
        </w:rPr>
        <w:t>237万元，林草科技推广示范补助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资金</w:t>
      </w:r>
      <w:r>
        <w:rPr>
          <w:rFonts w:hint="eastAsia" w:ascii="仿宋_GB2312" w:hAnsi="仿宋" w:eastAsia="仿宋_GB2312" w:cs="仿宋_GB2312"/>
          <w:sz w:val="32"/>
          <w:szCs w:val="32"/>
        </w:rPr>
        <w:t>82万元，林木良种培育补助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资金</w:t>
      </w:r>
      <w:r>
        <w:rPr>
          <w:rFonts w:hint="eastAsia" w:ascii="仿宋_GB2312" w:hAnsi="仿宋" w:eastAsia="仿宋_GB2312" w:cs="仿宋_GB2312"/>
          <w:sz w:val="32"/>
          <w:szCs w:val="32"/>
        </w:rPr>
        <w:t>16.5万元，林草湿荒综合监测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资金</w:t>
      </w:r>
      <w:r>
        <w:rPr>
          <w:rFonts w:hint="eastAsia" w:ascii="仿宋_GB2312" w:hAnsi="仿宋" w:eastAsia="仿宋_GB2312" w:cs="仿宋_GB2312"/>
          <w:sz w:val="32"/>
          <w:szCs w:val="32"/>
        </w:rPr>
        <w:t>39万元。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根据相关指标文件，</w:t>
      </w:r>
      <w:r>
        <w:rPr>
          <w:rFonts w:hint="eastAsia" w:ascii="仿宋_GB2312" w:hAnsi="仿宋_GB2312" w:eastAsia="仿宋_GB2312" w:cs="仿宋_GB2312"/>
          <w:sz w:val="32"/>
          <w:szCs w:val="32"/>
        </w:rPr>
        <w:t>我县及时将任务全额分解各乡镇和有关单位。</w:t>
      </w:r>
    </w:p>
    <w:p w14:paraId="369232DD">
      <w:pPr>
        <w:spacing w:line="590" w:lineRule="exact"/>
        <w:ind w:firstLine="640"/>
        <w:rPr>
          <w:rFonts w:hint="eastAsia"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（二）省级专项资金下达情况。2024年度下达我县省级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林业</w:t>
      </w:r>
      <w:r>
        <w:rPr>
          <w:rFonts w:hint="eastAsia" w:ascii="仿宋_GB2312" w:hAnsi="仿宋" w:eastAsia="仿宋_GB2312" w:cs="仿宋_GB2312"/>
          <w:sz w:val="32"/>
          <w:szCs w:val="32"/>
        </w:rPr>
        <w:t>专项资金2131.64万元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,</w:t>
      </w:r>
      <w:r>
        <w:rPr>
          <w:rFonts w:hint="eastAsia" w:ascii="仿宋_GB2312" w:hAnsi="仿宋" w:eastAsia="仿宋_GB2312" w:cs="仿宋_GB2312"/>
          <w:sz w:val="32"/>
          <w:szCs w:val="32"/>
        </w:rPr>
        <w:t>其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中：</w:t>
      </w:r>
      <w:r>
        <w:rPr>
          <w:rFonts w:hint="eastAsia" w:ascii="仿宋_GB2312" w:hAnsi="仿宋" w:eastAsia="仿宋_GB2312" w:cs="仿宋_GB2312"/>
          <w:sz w:val="32"/>
          <w:szCs w:val="32"/>
        </w:rPr>
        <w:t>国土绿化（造林和森林质量提升）资金1981.24万元，林业有害生物防治补助108万元，林草科技推广示范补助20万元，林木良种培育补助15万元，林草湿荒综合监测7.4万元。</w:t>
      </w:r>
    </w:p>
    <w:p w14:paraId="7B1F4FB2">
      <w:pPr>
        <w:spacing w:line="600" w:lineRule="exact"/>
        <w:ind w:firstLine="645"/>
        <w:rPr>
          <w:rFonts w:ascii="仿宋_GB2312" w:hAnsi="楷体_GB2312" w:eastAsia="仿宋_GB2312" w:cs="楷体_GB2312"/>
          <w:b/>
          <w:bCs/>
          <w:sz w:val="32"/>
          <w:szCs w:val="32"/>
        </w:rPr>
      </w:pPr>
      <w:r>
        <w:rPr>
          <w:rFonts w:hint="eastAsia" w:ascii="仿宋_GB2312" w:hAnsi="楷体_GB2312" w:eastAsia="仿宋_GB2312" w:cs="楷体_GB2312"/>
          <w:b/>
          <w:bCs/>
          <w:sz w:val="32"/>
          <w:szCs w:val="32"/>
        </w:rPr>
        <w:t>二、绩效情况分析</w:t>
      </w:r>
    </w:p>
    <w:p w14:paraId="4722C629">
      <w:pPr>
        <w:spacing w:line="600" w:lineRule="exact"/>
        <w:ind w:firstLine="645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（一）资金投入情况分析</w:t>
      </w:r>
    </w:p>
    <w:p w14:paraId="5AE175A2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其他国土绿化（造林和森林质量提升）资金</w:t>
      </w:r>
      <w:r>
        <w:rPr>
          <w:rFonts w:hint="eastAsia" w:ascii="仿宋_GB2312" w:hAnsi="宋体" w:eastAsia="仿宋_GB2312"/>
          <w:sz w:val="32"/>
          <w:szCs w:val="32"/>
        </w:rPr>
        <w:t>5468.24</w:t>
      </w:r>
      <w:r>
        <w:rPr>
          <w:rFonts w:hint="eastAsia" w:ascii="仿宋_GB2312" w:eastAsia="仿宋_GB2312"/>
          <w:sz w:val="32"/>
          <w:szCs w:val="32"/>
        </w:rPr>
        <w:t>万元，其中：中央财政资金投入</w:t>
      </w:r>
      <w:r>
        <w:rPr>
          <w:rFonts w:hint="eastAsia" w:ascii="仿宋_GB2312" w:hAnsi="仿宋" w:eastAsia="仿宋_GB2312" w:cs="仿宋_GB2312"/>
          <w:sz w:val="32"/>
          <w:szCs w:val="32"/>
        </w:rPr>
        <w:t>3487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截至自查日，</w:t>
      </w:r>
      <w:r>
        <w:rPr>
          <w:rFonts w:hint="eastAsia" w:ascii="仿宋_GB2312" w:eastAsia="仿宋_GB2312"/>
          <w:sz w:val="32"/>
          <w:szCs w:val="32"/>
          <w:lang w:eastAsia="zh-CN"/>
        </w:rPr>
        <w:t>县级财政暂</w:t>
      </w:r>
      <w:r>
        <w:rPr>
          <w:rFonts w:hint="eastAsia" w:ascii="仿宋_GB2312" w:eastAsia="仿宋_GB2312"/>
          <w:sz w:val="32"/>
          <w:szCs w:val="32"/>
        </w:rPr>
        <w:t>未</w:t>
      </w:r>
      <w:r>
        <w:rPr>
          <w:rFonts w:hint="eastAsia" w:ascii="仿宋_GB2312" w:eastAsia="仿宋_GB2312"/>
          <w:sz w:val="32"/>
          <w:szCs w:val="32"/>
          <w:lang w:eastAsia="zh-CN"/>
        </w:rPr>
        <w:t>下达计划额度</w:t>
      </w:r>
      <w:r>
        <w:rPr>
          <w:rFonts w:hint="eastAsia" w:ascii="仿宋_GB2312" w:eastAsia="仿宋_GB2312"/>
          <w:sz w:val="32"/>
          <w:szCs w:val="32"/>
        </w:rPr>
        <w:t>；省级财政资金投入1981.24万元，截至自查日，到位50万元，实际支出50万元，支出执行率100%</w:t>
      </w:r>
      <w:r>
        <w:rPr>
          <w:rFonts w:hint="eastAsia" w:ascii="仿宋_GB2312" w:hAnsi="仿宋" w:eastAsia="仿宋_GB2312" w:cs="仿宋_GB2312"/>
          <w:sz w:val="32"/>
          <w:szCs w:val="32"/>
        </w:rPr>
        <w:t>。</w:t>
      </w:r>
    </w:p>
    <w:p w14:paraId="69F4E275">
      <w:pPr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其他国土绿化（森林可持续经营试点）资金114.1万元，</w:t>
      </w:r>
      <w:r>
        <w:rPr>
          <w:rFonts w:hint="eastAsia" w:ascii="仿宋_GB2312" w:eastAsia="仿宋_GB2312"/>
          <w:sz w:val="32"/>
          <w:szCs w:val="32"/>
        </w:rPr>
        <w:t>资金任务2025年1月下达。截至自查日，</w:t>
      </w:r>
      <w:r>
        <w:rPr>
          <w:rFonts w:hint="eastAsia" w:ascii="仿宋_GB2312" w:eastAsia="仿宋_GB2312"/>
          <w:sz w:val="32"/>
          <w:szCs w:val="32"/>
          <w:lang w:eastAsia="zh-CN"/>
        </w:rPr>
        <w:t>县级财政暂</w:t>
      </w:r>
      <w:r>
        <w:rPr>
          <w:rFonts w:hint="eastAsia" w:ascii="仿宋_GB2312" w:eastAsia="仿宋_GB2312"/>
          <w:sz w:val="32"/>
          <w:szCs w:val="32"/>
        </w:rPr>
        <w:t>未</w:t>
      </w:r>
      <w:r>
        <w:rPr>
          <w:rFonts w:hint="eastAsia" w:ascii="仿宋_GB2312" w:eastAsia="仿宋_GB2312"/>
          <w:sz w:val="32"/>
          <w:szCs w:val="32"/>
          <w:lang w:eastAsia="zh-CN"/>
        </w:rPr>
        <w:t>下达计划额度</w:t>
      </w:r>
      <w:r>
        <w:rPr>
          <w:rFonts w:hint="eastAsia" w:ascii="仿宋_GB2312" w:hAnsi="仿宋" w:eastAsia="仿宋_GB2312" w:cs="仿宋_GB2312"/>
          <w:sz w:val="32"/>
          <w:szCs w:val="32"/>
        </w:rPr>
        <w:t>。</w:t>
      </w:r>
    </w:p>
    <w:p w14:paraId="17F73254">
      <w:pPr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森林防火补助资金10万元，</w:t>
      </w:r>
      <w:r>
        <w:rPr>
          <w:rFonts w:hint="eastAsia" w:ascii="仿宋_GB2312" w:eastAsia="仿宋_GB2312"/>
          <w:sz w:val="32"/>
          <w:szCs w:val="32"/>
        </w:rPr>
        <w:t>截至自查日</w:t>
      </w:r>
      <w:r>
        <w:rPr>
          <w:rFonts w:hint="eastAsia" w:ascii="仿宋_GB2312" w:eastAsia="仿宋_GB2312"/>
          <w:sz w:val="32"/>
          <w:szCs w:val="32"/>
          <w:lang w:eastAsia="zh-CN"/>
        </w:rPr>
        <w:t>，县级财政暂</w:t>
      </w:r>
      <w:r>
        <w:rPr>
          <w:rFonts w:hint="eastAsia" w:ascii="仿宋_GB2312" w:eastAsia="仿宋_GB2312"/>
          <w:sz w:val="32"/>
          <w:szCs w:val="32"/>
        </w:rPr>
        <w:t>未</w:t>
      </w:r>
      <w:r>
        <w:rPr>
          <w:rFonts w:hint="eastAsia" w:ascii="仿宋_GB2312" w:eastAsia="仿宋_GB2312"/>
          <w:sz w:val="32"/>
          <w:szCs w:val="32"/>
          <w:lang w:eastAsia="zh-CN"/>
        </w:rPr>
        <w:t>下达计划额度</w:t>
      </w:r>
      <w:r>
        <w:rPr>
          <w:rFonts w:hint="eastAsia" w:ascii="仿宋_GB2312" w:hAnsi="仿宋" w:eastAsia="仿宋_GB2312" w:cs="仿宋_GB2312"/>
          <w:sz w:val="32"/>
          <w:szCs w:val="32"/>
        </w:rPr>
        <w:t>。</w:t>
      </w:r>
    </w:p>
    <w:p w14:paraId="7EFFC673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林业有害生物防治补助资金345万元，其中：中央财政资金投入237万元，到位237万元，实际支出237万元，支出执行率100%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 w:cs="仿宋_GB2312"/>
          <w:sz w:val="32"/>
          <w:szCs w:val="32"/>
        </w:rPr>
        <w:t>省级财政资金投入108万元，到位108万元，实际支出108万元，支出执行率100%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00CE5A4D">
      <w:pPr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林草科技推广示范补助102万元，其中：中央财政资金投入82万元，到位60万元，实际支出60万元，支出执行率100%，省级财政资金投入20万元，</w:t>
      </w:r>
      <w:r>
        <w:rPr>
          <w:rFonts w:hint="eastAsia" w:ascii="仿宋_GB2312" w:eastAsia="仿宋_GB2312"/>
          <w:sz w:val="32"/>
          <w:szCs w:val="32"/>
        </w:rPr>
        <w:t>截至自查日</w:t>
      </w:r>
      <w:r>
        <w:rPr>
          <w:rFonts w:hint="eastAsia" w:ascii="仿宋_GB2312" w:eastAsia="仿宋_GB2312"/>
          <w:sz w:val="32"/>
          <w:szCs w:val="32"/>
          <w:lang w:eastAsia="zh-CN"/>
        </w:rPr>
        <w:t>，县级财政暂</w:t>
      </w:r>
      <w:r>
        <w:rPr>
          <w:rFonts w:hint="eastAsia" w:ascii="仿宋_GB2312" w:eastAsia="仿宋_GB2312"/>
          <w:sz w:val="32"/>
          <w:szCs w:val="32"/>
        </w:rPr>
        <w:t>未</w:t>
      </w:r>
      <w:r>
        <w:rPr>
          <w:rFonts w:hint="eastAsia" w:ascii="仿宋_GB2312" w:eastAsia="仿宋_GB2312"/>
          <w:sz w:val="32"/>
          <w:szCs w:val="32"/>
          <w:lang w:eastAsia="zh-CN"/>
        </w:rPr>
        <w:t>下达计划额度</w:t>
      </w:r>
      <w:r>
        <w:rPr>
          <w:rFonts w:hint="eastAsia" w:ascii="仿宋_GB2312" w:hAnsi="仿宋" w:eastAsia="仿宋_GB2312" w:cs="仿宋_GB2312"/>
          <w:sz w:val="32"/>
          <w:szCs w:val="32"/>
        </w:rPr>
        <w:t>。</w:t>
      </w:r>
    </w:p>
    <w:p w14:paraId="1A28D103">
      <w:pPr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林木良种培育补助31.5万元，其中：中央财政资金投入16.5万元，省级财政资金投入15万元，</w:t>
      </w:r>
      <w:r>
        <w:rPr>
          <w:rFonts w:hint="eastAsia" w:ascii="仿宋_GB2312" w:eastAsia="仿宋_GB2312"/>
          <w:sz w:val="32"/>
          <w:szCs w:val="32"/>
        </w:rPr>
        <w:t>截至自查日，</w:t>
      </w:r>
      <w:r>
        <w:rPr>
          <w:rFonts w:hint="eastAsia" w:ascii="仿宋_GB2312" w:eastAsia="仿宋_GB2312"/>
          <w:sz w:val="32"/>
          <w:szCs w:val="32"/>
          <w:lang w:eastAsia="zh-CN"/>
        </w:rPr>
        <w:t>县级财政暂</w:t>
      </w:r>
      <w:r>
        <w:rPr>
          <w:rFonts w:hint="eastAsia" w:ascii="仿宋_GB2312" w:eastAsia="仿宋_GB2312"/>
          <w:sz w:val="32"/>
          <w:szCs w:val="32"/>
        </w:rPr>
        <w:t>未</w:t>
      </w:r>
      <w:r>
        <w:rPr>
          <w:rFonts w:hint="eastAsia" w:ascii="仿宋_GB2312" w:eastAsia="仿宋_GB2312"/>
          <w:sz w:val="32"/>
          <w:szCs w:val="32"/>
          <w:lang w:eastAsia="zh-CN"/>
        </w:rPr>
        <w:t>下达计划额度</w:t>
      </w:r>
      <w:r>
        <w:rPr>
          <w:rFonts w:hint="eastAsia" w:ascii="仿宋_GB2312" w:hAnsi="仿宋" w:eastAsia="仿宋_GB2312" w:cs="仿宋_GB2312"/>
          <w:sz w:val="32"/>
          <w:szCs w:val="32"/>
        </w:rPr>
        <w:t>。</w:t>
      </w:r>
    </w:p>
    <w:p w14:paraId="5BEFFC01">
      <w:pPr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林草湿荒综合监测补助46.4万元，其中：中央财政资金投入39万元，省级财政资金投入7.4万元，</w:t>
      </w:r>
      <w:r>
        <w:rPr>
          <w:rFonts w:hint="eastAsia" w:ascii="仿宋_GB2312" w:eastAsia="仿宋_GB2312"/>
          <w:sz w:val="32"/>
          <w:szCs w:val="32"/>
        </w:rPr>
        <w:t>截至自查日，</w:t>
      </w:r>
      <w:r>
        <w:rPr>
          <w:rFonts w:hint="eastAsia" w:ascii="仿宋_GB2312" w:eastAsia="仿宋_GB2312"/>
          <w:sz w:val="32"/>
          <w:szCs w:val="32"/>
          <w:lang w:eastAsia="zh-CN"/>
        </w:rPr>
        <w:t>县级财政暂</w:t>
      </w:r>
      <w:r>
        <w:rPr>
          <w:rFonts w:hint="eastAsia" w:ascii="仿宋_GB2312" w:eastAsia="仿宋_GB2312"/>
          <w:sz w:val="32"/>
          <w:szCs w:val="32"/>
        </w:rPr>
        <w:t>未</w:t>
      </w:r>
      <w:r>
        <w:rPr>
          <w:rFonts w:hint="eastAsia" w:ascii="仿宋_GB2312" w:eastAsia="仿宋_GB2312"/>
          <w:sz w:val="32"/>
          <w:szCs w:val="32"/>
          <w:lang w:eastAsia="zh-CN"/>
        </w:rPr>
        <w:t>下达计划额度</w:t>
      </w:r>
      <w:r>
        <w:rPr>
          <w:rFonts w:hint="eastAsia" w:ascii="仿宋_GB2312" w:hAnsi="仿宋" w:eastAsia="仿宋_GB2312" w:cs="仿宋_GB2312"/>
          <w:sz w:val="32"/>
          <w:szCs w:val="32"/>
        </w:rPr>
        <w:t>。</w:t>
      </w:r>
    </w:p>
    <w:p w14:paraId="6CCF1C18">
      <w:pPr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（二）资金管理情况</w:t>
      </w:r>
    </w:p>
    <w:p w14:paraId="2B224054">
      <w:pPr>
        <w:spacing w:line="600" w:lineRule="exact"/>
        <w:ind w:firstLine="645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1.健全专项资金管理机制。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严格</w:t>
      </w:r>
      <w:r>
        <w:rPr>
          <w:rFonts w:hint="eastAsia" w:ascii="仿宋_GB2312" w:hAnsi="仿宋" w:eastAsia="仿宋_GB2312" w:cs="仿宋_GB2312"/>
          <w:sz w:val="32"/>
          <w:szCs w:val="32"/>
        </w:rPr>
        <w:t>按照林业专项资金管理办法，严控项目流程管理，实施动态监控、过程跟踪，规范支付程序，严禁截留、挤占、挪用和超标准支出资金，确保专款专用，安全高效地发挥投资效益。</w:t>
      </w:r>
    </w:p>
    <w:p w14:paraId="329997D9">
      <w:pPr>
        <w:spacing w:line="600" w:lineRule="exact"/>
        <w:ind w:firstLine="645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2. 严格专项资金拨付审批。依据年度任务完成进度，及时办理专项资金的申请、核实、拨付等工作。</w:t>
      </w:r>
    </w:p>
    <w:p w14:paraId="5CFAC48D">
      <w:pPr>
        <w:spacing w:line="600" w:lineRule="exact"/>
        <w:ind w:firstLine="645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（三）总体绩效目标完成情况分析</w:t>
      </w:r>
    </w:p>
    <w:p w14:paraId="2CE8E492">
      <w:pPr>
        <w:spacing w:line="60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2024年我县按照中央及省、市有关资金管理办法和年初下达的绩效目标，较好完成年初省、市上下达的各项绩效指标。</w:t>
      </w:r>
    </w:p>
    <w:p w14:paraId="5C9626C8">
      <w:pPr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（四）绩效指标完成情况分析</w:t>
      </w:r>
    </w:p>
    <w:p w14:paraId="6B4D86C3">
      <w:pPr>
        <w:spacing w:line="600" w:lineRule="exact"/>
        <w:ind w:firstLine="960" w:firstLineChars="3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1.产出指标完成情况</w:t>
      </w:r>
    </w:p>
    <w:p w14:paraId="4E7E3F46"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（1）数量指标。</w:t>
      </w:r>
      <w:r>
        <w:rPr>
          <w:rFonts w:hint="eastAsia" w:ascii="仿宋_GB2312" w:hAnsi="仿宋_GB2312" w:eastAsia="仿宋_GB2312" w:cs="仿宋_GB2312"/>
          <w:sz w:val="32"/>
          <w:szCs w:val="32"/>
        </w:rPr>
        <w:t>2024年度全县共完成油茶新造面积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0.0650万</w:t>
      </w:r>
      <w:r>
        <w:rPr>
          <w:rFonts w:hint="eastAsia" w:ascii="仿宋_GB2312" w:hAnsi="仿宋_GB2312" w:eastAsia="仿宋_GB2312" w:cs="仿宋_GB2312"/>
          <w:sz w:val="32"/>
          <w:szCs w:val="32"/>
        </w:rPr>
        <w:t>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，油茶低产低效林改造面积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1.5368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万亩，</w:t>
      </w:r>
      <w:r>
        <w:rPr>
          <w:rFonts w:hint="eastAsia" w:ascii="仿宋_GB2312" w:hAnsi="仿宋_GB2312" w:eastAsia="仿宋_GB2312" w:cs="仿宋_GB2312"/>
          <w:sz w:val="32"/>
          <w:szCs w:val="32"/>
        </w:rPr>
        <w:t>中央财政造林3.0271万亩，森林质量提升1.289万亩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，森林可持续经营试点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0.25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万亩，美国白蛾等其他重大林业有害生物防治任务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1.5222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万亩次，</w:t>
      </w:r>
      <w:r>
        <w:rPr>
          <w:rFonts w:hint="eastAsia" w:ascii="仿宋_GB2312" w:hAnsi="仿宋_GB2312" w:eastAsia="仿宋_GB2312" w:cs="仿宋_GB2312"/>
          <w:sz w:val="32"/>
          <w:szCs w:val="32"/>
        </w:rPr>
        <w:t>林木良种苗木培育115.67万株，林草科技推广项目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全国性林草湿荒综合监测项目图斑监测数量2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72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172D6DA">
      <w:pPr>
        <w:ind w:firstLine="320" w:firstLineChars="1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（2）质量指标。油茶新造成活率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90</w:t>
      </w:r>
      <w:r>
        <w:rPr>
          <w:rFonts w:hint="eastAsia" w:ascii="仿宋_GB2312" w:hAnsi="仿宋" w:eastAsia="仿宋_GB2312" w:cs="仿宋_GB2312"/>
          <w:sz w:val="32"/>
          <w:szCs w:val="32"/>
        </w:rPr>
        <w:t>%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，低产低效林改造油茶存活率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95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%，油茶良种使用率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%，</w:t>
      </w:r>
      <w:r>
        <w:rPr>
          <w:rFonts w:hint="eastAsia" w:ascii="仿宋_GB2312" w:hAnsi="仿宋" w:eastAsia="仿宋_GB2312" w:cs="仿宋_GB2312"/>
          <w:sz w:val="32"/>
          <w:szCs w:val="32"/>
        </w:rPr>
        <w:t>造林面积合格率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85</w:t>
      </w:r>
      <w:r>
        <w:rPr>
          <w:rFonts w:hint="eastAsia" w:ascii="仿宋_GB2312" w:hAnsi="仿宋" w:eastAsia="仿宋_GB2312" w:cs="仿宋_GB2312"/>
          <w:sz w:val="32"/>
          <w:szCs w:val="32"/>
        </w:rPr>
        <w:t>%，森林质量提升面积合格率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85</w:t>
      </w:r>
      <w:r>
        <w:rPr>
          <w:rFonts w:hint="eastAsia" w:ascii="仿宋_GB2312" w:hAnsi="仿宋" w:eastAsia="仿宋_GB2312" w:cs="仿宋_GB2312"/>
          <w:sz w:val="32"/>
          <w:szCs w:val="32"/>
        </w:rPr>
        <w:t>%，森林火灾受害率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 w:cs="仿宋_GB2312"/>
          <w:sz w:val="32"/>
          <w:szCs w:val="32"/>
        </w:rPr>
        <w:t>，松材线虫病防控目标任务完成率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 w:cs="仿宋_GB2312"/>
          <w:sz w:val="32"/>
          <w:szCs w:val="32"/>
        </w:rPr>
        <w:t>2.2%</w:t>
      </w:r>
      <w:r>
        <w:rPr>
          <w:rFonts w:hint="eastAsia" w:ascii="仿宋_GB2312" w:eastAsia="仿宋_GB2312"/>
          <w:color w:val="000000"/>
          <w:sz w:val="32"/>
          <w:szCs w:val="32"/>
        </w:rPr>
        <w:t>。</w:t>
      </w:r>
    </w:p>
    <w:p w14:paraId="7650DB55">
      <w:pPr>
        <w:spacing w:line="560" w:lineRule="exact"/>
        <w:ind w:firstLine="640" w:firstLineChars="200"/>
        <w:rPr>
          <w:rFonts w:hint="eastAsia"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（3）时效指标。油茶新造当期任务完成率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 w:cs="仿宋_GB2312"/>
          <w:sz w:val="32"/>
          <w:szCs w:val="32"/>
        </w:rPr>
        <w:t>%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，油茶改造当期任务完成率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%，</w:t>
      </w:r>
      <w:r>
        <w:rPr>
          <w:rFonts w:hint="eastAsia" w:ascii="仿宋_GB2312" w:hAnsi="仿宋" w:eastAsia="仿宋_GB2312" w:cs="仿宋_GB2312"/>
          <w:sz w:val="32"/>
          <w:szCs w:val="32"/>
        </w:rPr>
        <w:t>造林当期任务完成率1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00</w:t>
      </w:r>
      <w:r>
        <w:rPr>
          <w:rFonts w:hint="eastAsia" w:ascii="仿宋_GB2312" w:hAnsi="仿宋" w:eastAsia="仿宋_GB2312" w:cs="仿宋_GB2312"/>
          <w:sz w:val="32"/>
          <w:szCs w:val="32"/>
        </w:rPr>
        <w:t>.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仿宋_GB2312"/>
          <w:sz w:val="32"/>
          <w:szCs w:val="32"/>
        </w:rPr>
        <w:t>%，森林质量提升当期任务完成率128.9%。</w:t>
      </w:r>
    </w:p>
    <w:p w14:paraId="7452FA76">
      <w:pPr>
        <w:spacing w:line="560" w:lineRule="exact"/>
        <w:ind w:firstLine="640" w:firstLineChars="200"/>
        <w:rPr>
          <w:rFonts w:hint="default" w:ascii="仿宋_GB2312" w:hAnsi="仿宋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4）成本指标。油茶新造补助标准1300元/亩，油茶低产低效林改造补助标准630元/亩。</w:t>
      </w:r>
    </w:p>
    <w:p w14:paraId="794F2322">
      <w:pPr>
        <w:spacing w:line="600" w:lineRule="exact"/>
        <w:ind w:firstLine="800" w:firstLineChars="25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2.效益指标完成情况</w:t>
      </w:r>
    </w:p>
    <w:p w14:paraId="183BB4CE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（1）生态效益指标。林业草原有害生物无公害防治成效明显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；森林、草原、荒漠生态系统生态效益发挥明显；对地区森林生态系统生态效益发挥明显</w:t>
      </w:r>
      <w:r>
        <w:rPr>
          <w:rFonts w:hint="eastAsia" w:ascii="仿宋_GB2312" w:hAnsi="仿宋" w:eastAsia="仿宋_GB2312" w:cs="仿宋"/>
          <w:sz w:val="32"/>
          <w:szCs w:val="32"/>
        </w:rPr>
        <w:t>。</w:t>
      </w:r>
    </w:p>
    <w:p w14:paraId="6EE42BD1">
      <w:pPr>
        <w:spacing w:line="600" w:lineRule="exact"/>
        <w:ind w:firstLine="645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（2）可持续影响指标。森林、草原、荒漠生态系统功能改善可持续影响明显；对地区油茶产业发展可持续性影响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明显</w:t>
      </w:r>
      <w:r>
        <w:rPr>
          <w:rFonts w:hint="eastAsia" w:ascii="仿宋_GB2312" w:hAnsi="仿宋" w:eastAsia="仿宋_GB2312" w:cs="仿宋_GB2312"/>
          <w:sz w:val="32"/>
          <w:szCs w:val="32"/>
        </w:rPr>
        <w:t>。</w:t>
      </w:r>
    </w:p>
    <w:p w14:paraId="70727FCF">
      <w:pPr>
        <w:spacing w:line="600" w:lineRule="exact"/>
        <w:ind w:firstLine="645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3.满意度指标完成情况</w:t>
      </w:r>
    </w:p>
    <w:p w14:paraId="03C4F2D0">
      <w:pPr>
        <w:spacing w:line="600" w:lineRule="exact"/>
        <w:ind w:firstLine="645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项目涉及林区职工、周边群众满意度9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仿宋_GB2312"/>
          <w:sz w:val="32"/>
          <w:szCs w:val="32"/>
        </w:rPr>
        <w:t>%。</w:t>
      </w:r>
    </w:p>
    <w:p w14:paraId="4DCCE0A7">
      <w:pPr>
        <w:spacing w:line="600" w:lineRule="exact"/>
        <w:ind w:firstLine="645"/>
        <w:rPr>
          <w:rFonts w:ascii="仿宋_GB2312" w:hAnsi="楷体_GB2312" w:eastAsia="仿宋_GB2312" w:cs="楷体_GB2312"/>
          <w:b/>
          <w:bCs/>
          <w:sz w:val="32"/>
          <w:szCs w:val="32"/>
        </w:rPr>
      </w:pPr>
      <w:r>
        <w:rPr>
          <w:rFonts w:hint="eastAsia" w:ascii="仿宋_GB2312" w:hAnsi="楷体_GB2312" w:eastAsia="仿宋_GB2312" w:cs="楷体_GB2312"/>
          <w:b/>
          <w:bCs/>
          <w:sz w:val="32"/>
          <w:szCs w:val="32"/>
        </w:rPr>
        <w:t>三、偏离绩效目标的原因和下一步改进措施</w:t>
      </w:r>
    </w:p>
    <w:p w14:paraId="3B59F787">
      <w:pPr>
        <w:spacing w:line="600" w:lineRule="exact"/>
        <w:ind w:firstLine="645"/>
        <w:jc w:val="left"/>
        <w:rPr>
          <w:rFonts w:ascii="仿宋_GB2312" w:hAnsi="仿宋" w:eastAsia="仿宋_GB2312"/>
          <w:color w:val="FF0000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综合绩效分析情况，我县已基本完成年度绩效目标，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未偏离绩效目标，</w:t>
      </w:r>
      <w:r>
        <w:rPr>
          <w:rFonts w:hint="eastAsia" w:ascii="仿宋_GB2312" w:hAnsi="仿宋_GB2312" w:eastAsia="仿宋_GB2312" w:cs="仿宋_GB2312"/>
          <w:sz w:val="32"/>
          <w:szCs w:val="32"/>
        </w:rPr>
        <w:t>下一步将继续加强项目资金及实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施国土绿化及</w:t>
      </w:r>
      <w:r>
        <w:rPr>
          <w:rFonts w:hint="eastAsia" w:ascii="仿宋_GB2312" w:hAnsi="仿宋_GB2312" w:eastAsia="仿宋_GB2312" w:cs="仿宋_GB2312"/>
          <w:sz w:val="32"/>
          <w:szCs w:val="32"/>
        </w:rPr>
        <w:t>森林资源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保护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72550131">
      <w:pPr>
        <w:spacing w:line="600" w:lineRule="exact"/>
        <w:ind w:firstLine="645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楷体_GB2312" w:eastAsia="仿宋_GB2312" w:cs="楷体_GB2312"/>
          <w:b/>
          <w:bCs/>
          <w:sz w:val="32"/>
          <w:szCs w:val="32"/>
        </w:rPr>
        <w:t>四、</w:t>
      </w:r>
      <w:r>
        <w:rPr>
          <w:rFonts w:hint="eastAsia" w:ascii="仿宋_GB2312" w:hAnsi="黑体" w:eastAsia="仿宋_GB2312" w:cs="黑体"/>
          <w:b/>
          <w:sz w:val="32"/>
          <w:szCs w:val="32"/>
        </w:rPr>
        <w:t>绩效自评结果拟应用和公开情况</w:t>
      </w:r>
    </w:p>
    <w:p w14:paraId="6B8D1C96">
      <w:pPr>
        <w:spacing w:line="600" w:lineRule="exact"/>
        <w:ind w:firstLine="64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绩效评价结果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将</w:t>
      </w:r>
      <w:r>
        <w:rPr>
          <w:rFonts w:hint="eastAsia" w:ascii="仿宋_GB2312" w:hAnsi="仿宋" w:eastAsia="仿宋_GB2312" w:cs="仿宋_GB2312"/>
          <w:sz w:val="32"/>
          <w:szCs w:val="32"/>
        </w:rPr>
        <w:t>应用于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今后</w:t>
      </w:r>
      <w:r>
        <w:rPr>
          <w:rFonts w:hint="eastAsia" w:ascii="仿宋_GB2312" w:hAnsi="仿宋" w:eastAsia="仿宋_GB2312" w:cs="仿宋_GB2312"/>
          <w:sz w:val="32"/>
          <w:szCs w:val="32"/>
        </w:rPr>
        <w:t>争取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中央和省级</w:t>
      </w:r>
      <w:r>
        <w:rPr>
          <w:rFonts w:hint="eastAsia" w:ascii="仿宋_GB2312" w:hAnsi="仿宋" w:eastAsia="仿宋_GB2312" w:cs="仿宋_GB2312"/>
          <w:sz w:val="32"/>
          <w:szCs w:val="32"/>
        </w:rPr>
        <w:t>林业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生态保护恢复</w:t>
      </w:r>
      <w:r>
        <w:rPr>
          <w:rFonts w:hint="eastAsia" w:ascii="仿宋_GB2312" w:hAnsi="仿宋" w:eastAsia="仿宋_GB2312" w:cs="仿宋_GB2312"/>
          <w:sz w:val="32"/>
          <w:szCs w:val="32"/>
        </w:rPr>
        <w:t>资金安排及进一步完善项目资金管理制度。在绩效评价工作中发现存在的问题，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将</w:t>
      </w:r>
      <w:r>
        <w:rPr>
          <w:rFonts w:hint="eastAsia" w:ascii="仿宋_GB2312" w:hAnsi="仿宋" w:eastAsia="仿宋_GB2312" w:cs="仿宋_GB2312"/>
          <w:sz w:val="32"/>
          <w:szCs w:val="32"/>
        </w:rPr>
        <w:t>及时进行整改，提高资金使用效益。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并</w:t>
      </w:r>
      <w:r>
        <w:rPr>
          <w:rFonts w:hint="eastAsia" w:ascii="仿宋_GB2312" w:hAnsi="仿宋" w:eastAsia="仿宋_GB2312" w:cs="仿宋_GB2312"/>
          <w:sz w:val="32"/>
          <w:szCs w:val="32"/>
        </w:rPr>
        <w:t>及时公开绩效自评结果。</w:t>
      </w:r>
    </w:p>
    <w:p w14:paraId="0F2BD094">
      <w:pPr>
        <w:spacing w:line="600" w:lineRule="exact"/>
        <w:ind w:firstLine="643" w:firstLineChars="200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五、其他需说明的问题</w:t>
      </w:r>
    </w:p>
    <w:p w14:paraId="1B5B14EB">
      <w:pPr>
        <w:spacing w:line="600" w:lineRule="exact"/>
        <w:ind w:firstLine="645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无</w:t>
      </w:r>
    </w:p>
    <w:p w14:paraId="76B4057D">
      <w:pPr>
        <w:spacing w:line="600" w:lineRule="exact"/>
        <w:ind w:firstLine="643" w:firstLineChars="200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六、巡视、审计和财会监督中发现的问题及其所涉及的金额</w:t>
      </w:r>
    </w:p>
    <w:p w14:paraId="36758FC0">
      <w:pPr>
        <w:spacing w:line="600" w:lineRule="exact"/>
        <w:ind w:firstLine="645"/>
        <w:rPr>
          <w:rFonts w:ascii="仿宋_GB2312" w:hAnsi="楷体_GB2312" w:eastAsia="仿宋_GB2312" w:cs="楷体_GB2312"/>
          <w:b/>
          <w:bCs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无</w:t>
      </w:r>
    </w:p>
    <w:p w14:paraId="773C6EBE">
      <w:pPr>
        <w:spacing w:line="600" w:lineRule="exact"/>
        <w:ind w:firstLine="5120" w:firstLineChars="1600"/>
        <w:rPr>
          <w:rFonts w:ascii="仿宋_GB2312" w:hAnsi="仿宋" w:eastAsia="仿宋_GB2312" w:cs="仿宋_GB2312"/>
          <w:sz w:val="32"/>
          <w:szCs w:val="32"/>
        </w:rPr>
      </w:pPr>
    </w:p>
    <w:p w14:paraId="71D132B6"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附件：尤溪县林业草原改革发展资金绩效自评表</w:t>
      </w:r>
      <w:bookmarkStart w:id="4" w:name="_GoBack"/>
      <w:bookmarkEnd w:id="4"/>
    </w:p>
    <w:sectPr>
      <w:footerReference r:id="rId3" w:type="default"/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7A8A77"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36829701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94014"/>
    <w:rsid w:val="000038BD"/>
    <w:rsid w:val="00005B29"/>
    <w:rsid w:val="00006F77"/>
    <w:rsid w:val="000074F2"/>
    <w:rsid w:val="000146E3"/>
    <w:rsid w:val="00017113"/>
    <w:rsid w:val="00024422"/>
    <w:rsid w:val="00026FF5"/>
    <w:rsid w:val="00027997"/>
    <w:rsid w:val="00032689"/>
    <w:rsid w:val="00035F4D"/>
    <w:rsid w:val="0003787F"/>
    <w:rsid w:val="000423FB"/>
    <w:rsid w:val="00044F62"/>
    <w:rsid w:val="00045C4F"/>
    <w:rsid w:val="00045D52"/>
    <w:rsid w:val="00047197"/>
    <w:rsid w:val="00052815"/>
    <w:rsid w:val="00052E40"/>
    <w:rsid w:val="000537DC"/>
    <w:rsid w:val="00053AAA"/>
    <w:rsid w:val="00053FD0"/>
    <w:rsid w:val="000566BF"/>
    <w:rsid w:val="00061399"/>
    <w:rsid w:val="00065515"/>
    <w:rsid w:val="0008089B"/>
    <w:rsid w:val="00083397"/>
    <w:rsid w:val="00083A86"/>
    <w:rsid w:val="00083BE6"/>
    <w:rsid w:val="00085A08"/>
    <w:rsid w:val="00085FAE"/>
    <w:rsid w:val="00087404"/>
    <w:rsid w:val="00090A05"/>
    <w:rsid w:val="00091C58"/>
    <w:rsid w:val="00097E59"/>
    <w:rsid w:val="00097F5E"/>
    <w:rsid w:val="000A2DDA"/>
    <w:rsid w:val="000B6997"/>
    <w:rsid w:val="000C0385"/>
    <w:rsid w:val="000C0DE8"/>
    <w:rsid w:val="000C1F33"/>
    <w:rsid w:val="000C4901"/>
    <w:rsid w:val="000C512F"/>
    <w:rsid w:val="000D2418"/>
    <w:rsid w:val="000D4630"/>
    <w:rsid w:val="000D6FF2"/>
    <w:rsid w:val="000E3259"/>
    <w:rsid w:val="000E43DE"/>
    <w:rsid w:val="000F0BE0"/>
    <w:rsid w:val="000F2AEC"/>
    <w:rsid w:val="000F3E65"/>
    <w:rsid w:val="000F7993"/>
    <w:rsid w:val="00101E74"/>
    <w:rsid w:val="0010247A"/>
    <w:rsid w:val="00104313"/>
    <w:rsid w:val="00106E48"/>
    <w:rsid w:val="00121239"/>
    <w:rsid w:val="00122D7E"/>
    <w:rsid w:val="0013110C"/>
    <w:rsid w:val="00133862"/>
    <w:rsid w:val="00141C7C"/>
    <w:rsid w:val="001436E8"/>
    <w:rsid w:val="00143841"/>
    <w:rsid w:val="00143EA7"/>
    <w:rsid w:val="0015116C"/>
    <w:rsid w:val="00151598"/>
    <w:rsid w:val="00155D3E"/>
    <w:rsid w:val="00166D63"/>
    <w:rsid w:val="00175DE7"/>
    <w:rsid w:val="00180EDC"/>
    <w:rsid w:val="0018421B"/>
    <w:rsid w:val="0018677C"/>
    <w:rsid w:val="00193249"/>
    <w:rsid w:val="00194014"/>
    <w:rsid w:val="00194A57"/>
    <w:rsid w:val="001962FB"/>
    <w:rsid w:val="001966BB"/>
    <w:rsid w:val="00196CC2"/>
    <w:rsid w:val="0019740C"/>
    <w:rsid w:val="001A3C9A"/>
    <w:rsid w:val="001B0E68"/>
    <w:rsid w:val="001B0EA6"/>
    <w:rsid w:val="001B3113"/>
    <w:rsid w:val="001B7C4D"/>
    <w:rsid w:val="001C51F7"/>
    <w:rsid w:val="001D1758"/>
    <w:rsid w:val="001D4F15"/>
    <w:rsid w:val="001D6028"/>
    <w:rsid w:val="001E091E"/>
    <w:rsid w:val="001E2A6F"/>
    <w:rsid w:val="001E2B88"/>
    <w:rsid w:val="001E74FA"/>
    <w:rsid w:val="001E76CA"/>
    <w:rsid w:val="001F3C0C"/>
    <w:rsid w:val="001F538F"/>
    <w:rsid w:val="001F5D50"/>
    <w:rsid w:val="00201D7E"/>
    <w:rsid w:val="00203D01"/>
    <w:rsid w:val="00211E44"/>
    <w:rsid w:val="00212461"/>
    <w:rsid w:val="00221AE4"/>
    <w:rsid w:val="00230D29"/>
    <w:rsid w:val="00231ADB"/>
    <w:rsid w:val="00241667"/>
    <w:rsid w:val="002448E6"/>
    <w:rsid w:val="002603FC"/>
    <w:rsid w:val="002608B9"/>
    <w:rsid w:val="00260BBE"/>
    <w:rsid w:val="00261B53"/>
    <w:rsid w:val="0026239D"/>
    <w:rsid w:val="002634C1"/>
    <w:rsid w:val="00264CCB"/>
    <w:rsid w:val="0026738A"/>
    <w:rsid w:val="00271A83"/>
    <w:rsid w:val="00276535"/>
    <w:rsid w:val="00276C4C"/>
    <w:rsid w:val="0028159C"/>
    <w:rsid w:val="00281EF0"/>
    <w:rsid w:val="002844A6"/>
    <w:rsid w:val="00286C02"/>
    <w:rsid w:val="00290B35"/>
    <w:rsid w:val="0029143E"/>
    <w:rsid w:val="002923FB"/>
    <w:rsid w:val="00295C84"/>
    <w:rsid w:val="002B090C"/>
    <w:rsid w:val="002B1B85"/>
    <w:rsid w:val="002B282E"/>
    <w:rsid w:val="002B779A"/>
    <w:rsid w:val="002C0F05"/>
    <w:rsid w:val="002C4DF7"/>
    <w:rsid w:val="002C53D1"/>
    <w:rsid w:val="002C5490"/>
    <w:rsid w:val="002C716A"/>
    <w:rsid w:val="002C7E86"/>
    <w:rsid w:val="002D15A3"/>
    <w:rsid w:val="002D37CE"/>
    <w:rsid w:val="002E0504"/>
    <w:rsid w:val="002E5164"/>
    <w:rsid w:val="002F326B"/>
    <w:rsid w:val="002F4D13"/>
    <w:rsid w:val="002F65B6"/>
    <w:rsid w:val="002F6603"/>
    <w:rsid w:val="0031039F"/>
    <w:rsid w:val="003165A8"/>
    <w:rsid w:val="0031730B"/>
    <w:rsid w:val="00327DDC"/>
    <w:rsid w:val="003312EB"/>
    <w:rsid w:val="003315F7"/>
    <w:rsid w:val="00337A64"/>
    <w:rsid w:val="003458F9"/>
    <w:rsid w:val="00355216"/>
    <w:rsid w:val="003749D9"/>
    <w:rsid w:val="00375833"/>
    <w:rsid w:val="003760AF"/>
    <w:rsid w:val="00380CF2"/>
    <w:rsid w:val="003902A5"/>
    <w:rsid w:val="00390489"/>
    <w:rsid w:val="00394644"/>
    <w:rsid w:val="00395851"/>
    <w:rsid w:val="003970C5"/>
    <w:rsid w:val="0039739A"/>
    <w:rsid w:val="0039794E"/>
    <w:rsid w:val="003A4D8C"/>
    <w:rsid w:val="003A5EAF"/>
    <w:rsid w:val="003B1B4E"/>
    <w:rsid w:val="003B1DFF"/>
    <w:rsid w:val="003B48B9"/>
    <w:rsid w:val="003B520E"/>
    <w:rsid w:val="003B54B2"/>
    <w:rsid w:val="003C6203"/>
    <w:rsid w:val="003C651E"/>
    <w:rsid w:val="003C69C0"/>
    <w:rsid w:val="003D426C"/>
    <w:rsid w:val="003D561C"/>
    <w:rsid w:val="003D7F12"/>
    <w:rsid w:val="003E286D"/>
    <w:rsid w:val="003E36DF"/>
    <w:rsid w:val="003E5798"/>
    <w:rsid w:val="003F00EE"/>
    <w:rsid w:val="004007BB"/>
    <w:rsid w:val="004026D8"/>
    <w:rsid w:val="00402EE8"/>
    <w:rsid w:val="004036E5"/>
    <w:rsid w:val="00417E33"/>
    <w:rsid w:val="00421C68"/>
    <w:rsid w:val="004238C2"/>
    <w:rsid w:val="004249EE"/>
    <w:rsid w:val="004250A0"/>
    <w:rsid w:val="004257DD"/>
    <w:rsid w:val="004264F7"/>
    <w:rsid w:val="00427C66"/>
    <w:rsid w:val="00440A3D"/>
    <w:rsid w:val="00444F60"/>
    <w:rsid w:val="00451C43"/>
    <w:rsid w:val="00452661"/>
    <w:rsid w:val="00465180"/>
    <w:rsid w:val="004674FA"/>
    <w:rsid w:val="004676ED"/>
    <w:rsid w:val="00471668"/>
    <w:rsid w:val="00471D05"/>
    <w:rsid w:val="00477784"/>
    <w:rsid w:val="00481148"/>
    <w:rsid w:val="004958CE"/>
    <w:rsid w:val="00497E7A"/>
    <w:rsid w:val="00497EED"/>
    <w:rsid w:val="004A06BF"/>
    <w:rsid w:val="004A5CF4"/>
    <w:rsid w:val="004A77F8"/>
    <w:rsid w:val="004D0AB2"/>
    <w:rsid w:val="004D0D14"/>
    <w:rsid w:val="004E3D33"/>
    <w:rsid w:val="004E7A9E"/>
    <w:rsid w:val="004F671C"/>
    <w:rsid w:val="00502373"/>
    <w:rsid w:val="00504AB6"/>
    <w:rsid w:val="005224A6"/>
    <w:rsid w:val="005234BC"/>
    <w:rsid w:val="00524447"/>
    <w:rsid w:val="00526BB1"/>
    <w:rsid w:val="00532792"/>
    <w:rsid w:val="00533058"/>
    <w:rsid w:val="00536241"/>
    <w:rsid w:val="00540001"/>
    <w:rsid w:val="00542F63"/>
    <w:rsid w:val="00543B26"/>
    <w:rsid w:val="0055414E"/>
    <w:rsid w:val="005575AB"/>
    <w:rsid w:val="005611B8"/>
    <w:rsid w:val="00561E28"/>
    <w:rsid w:val="00566A8B"/>
    <w:rsid w:val="00570AD0"/>
    <w:rsid w:val="00574964"/>
    <w:rsid w:val="0057512A"/>
    <w:rsid w:val="00592095"/>
    <w:rsid w:val="00592A55"/>
    <w:rsid w:val="005A4B22"/>
    <w:rsid w:val="005A5670"/>
    <w:rsid w:val="005B3A63"/>
    <w:rsid w:val="005C7693"/>
    <w:rsid w:val="005C7F09"/>
    <w:rsid w:val="005D5F60"/>
    <w:rsid w:val="005D6C7E"/>
    <w:rsid w:val="005E1435"/>
    <w:rsid w:val="005E365A"/>
    <w:rsid w:val="005E4B09"/>
    <w:rsid w:val="005E5745"/>
    <w:rsid w:val="005F1027"/>
    <w:rsid w:val="005F1E51"/>
    <w:rsid w:val="005F45C1"/>
    <w:rsid w:val="005F4F9D"/>
    <w:rsid w:val="005F780E"/>
    <w:rsid w:val="00604220"/>
    <w:rsid w:val="00621F4A"/>
    <w:rsid w:val="00623452"/>
    <w:rsid w:val="00624466"/>
    <w:rsid w:val="0062686E"/>
    <w:rsid w:val="00627D60"/>
    <w:rsid w:val="006313DB"/>
    <w:rsid w:val="00632664"/>
    <w:rsid w:val="0064671A"/>
    <w:rsid w:val="00653576"/>
    <w:rsid w:val="0066629C"/>
    <w:rsid w:val="00666797"/>
    <w:rsid w:val="00666C96"/>
    <w:rsid w:val="00671B0C"/>
    <w:rsid w:val="00672D07"/>
    <w:rsid w:val="00672DA4"/>
    <w:rsid w:val="00680271"/>
    <w:rsid w:val="006848C4"/>
    <w:rsid w:val="006912C9"/>
    <w:rsid w:val="00695BBA"/>
    <w:rsid w:val="006A68F6"/>
    <w:rsid w:val="006A7660"/>
    <w:rsid w:val="006B020B"/>
    <w:rsid w:val="006B1D38"/>
    <w:rsid w:val="006B2BAE"/>
    <w:rsid w:val="006B2E72"/>
    <w:rsid w:val="006B33C8"/>
    <w:rsid w:val="006B3E1D"/>
    <w:rsid w:val="006B7796"/>
    <w:rsid w:val="006C006F"/>
    <w:rsid w:val="006D0D4B"/>
    <w:rsid w:val="006D50C8"/>
    <w:rsid w:val="006E0044"/>
    <w:rsid w:val="006E06AA"/>
    <w:rsid w:val="006E49F8"/>
    <w:rsid w:val="006E5305"/>
    <w:rsid w:val="006E5576"/>
    <w:rsid w:val="006E5FBD"/>
    <w:rsid w:val="006F035D"/>
    <w:rsid w:val="006F075A"/>
    <w:rsid w:val="006F3F87"/>
    <w:rsid w:val="006F4563"/>
    <w:rsid w:val="006F64BD"/>
    <w:rsid w:val="006F6F41"/>
    <w:rsid w:val="0070581B"/>
    <w:rsid w:val="007067D7"/>
    <w:rsid w:val="0071420E"/>
    <w:rsid w:val="00717CD6"/>
    <w:rsid w:val="00726D71"/>
    <w:rsid w:val="007272B3"/>
    <w:rsid w:val="00727F90"/>
    <w:rsid w:val="00730FF9"/>
    <w:rsid w:val="00736D0D"/>
    <w:rsid w:val="00741BEA"/>
    <w:rsid w:val="007615BF"/>
    <w:rsid w:val="007649E1"/>
    <w:rsid w:val="00771C64"/>
    <w:rsid w:val="007740DB"/>
    <w:rsid w:val="00782EC1"/>
    <w:rsid w:val="0078491C"/>
    <w:rsid w:val="007937AF"/>
    <w:rsid w:val="00793B3C"/>
    <w:rsid w:val="00795773"/>
    <w:rsid w:val="00795B6D"/>
    <w:rsid w:val="007A1E6A"/>
    <w:rsid w:val="007A356C"/>
    <w:rsid w:val="007A5161"/>
    <w:rsid w:val="007A5A12"/>
    <w:rsid w:val="007B0A9F"/>
    <w:rsid w:val="007B1D0A"/>
    <w:rsid w:val="007B65BB"/>
    <w:rsid w:val="007C07D0"/>
    <w:rsid w:val="007C3063"/>
    <w:rsid w:val="007C67F8"/>
    <w:rsid w:val="007E0295"/>
    <w:rsid w:val="007F5CF7"/>
    <w:rsid w:val="007F75E8"/>
    <w:rsid w:val="00810752"/>
    <w:rsid w:val="0081111E"/>
    <w:rsid w:val="0081441C"/>
    <w:rsid w:val="008144BE"/>
    <w:rsid w:val="00817B68"/>
    <w:rsid w:val="008264A0"/>
    <w:rsid w:val="008336D7"/>
    <w:rsid w:val="008422E3"/>
    <w:rsid w:val="00846C95"/>
    <w:rsid w:val="008470C3"/>
    <w:rsid w:val="00851387"/>
    <w:rsid w:val="00851F49"/>
    <w:rsid w:val="0085775B"/>
    <w:rsid w:val="008610D5"/>
    <w:rsid w:val="00861206"/>
    <w:rsid w:val="00865252"/>
    <w:rsid w:val="008675BE"/>
    <w:rsid w:val="008717FF"/>
    <w:rsid w:val="00872759"/>
    <w:rsid w:val="00872934"/>
    <w:rsid w:val="00880509"/>
    <w:rsid w:val="00882AE1"/>
    <w:rsid w:val="00885673"/>
    <w:rsid w:val="008932EF"/>
    <w:rsid w:val="00896444"/>
    <w:rsid w:val="008A0B72"/>
    <w:rsid w:val="008A1E3E"/>
    <w:rsid w:val="008A2D72"/>
    <w:rsid w:val="008A624C"/>
    <w:rsid w:val="008A6F97"/>
    <w:rsid w:val="008B09C5"/>
    <w:rsid w:val="008B29D2"/>
    <w:rsid w:val="008B53D9"/>
    <w:rsid w:val="008B5666"/>
    <w:rsid w:val="008C639C"/>
    <w:rsid w:val="008D59AC"/>
    <w:rsid w:val="008E2527"/>
    <w:rsid w:val="008E7B24"/>
    <w:rsid w:val="008F28B6"/>
    <w:rsid w:val="008F54B7"/>
    <w:rsid w:val="008F71A6"/>
    <w:rsid w:val="009017FE"/>
    <w:rsid w:val="00901A1C"/>
    <w:rsid w:val="00906CCA"/>
    <w:rsid w:val="00910772"/>
    <w:rsid w:val="00910C07"/>
    <w:rsid w:val="009115DD"/>
    <w:rsid w:val="009159AD"/>
    <w:rsid w:val="00917CFC"/>
    <w:rsid w:val="0092025C"/>
    <w:rsid w:val="00922730"/>
    <w:rsid w:val="009251B2"/>
    <w:rsid w:val="00927656"/>
    <w:rsid w:val="00930361"/>
    <w:rsid w:val="00936AAC"/>
    <w:rsid w:val="009456D8"/>
    <w:rsid w:val="00945EFE"/>
    <w:rsid w:val="0094618F"/>
    <w:rsid w:val="009637C4"/>
    <w:rsid w:val="0097120F"/>
    <w:rsid w:val="00976C12"/>
    <w:rsid w:val="00980B04"/>
    <w:rsid w:val="00985EA8"/>
    <w:rsid w:val="00986FBB"/>
    <w:rsid w:val="0098745D"/>
    <w:rsid w:val="009950F6"/>
    <w:rsid w:val="00995F7F"/>
    <w:rsid w:val="009A0C1D"/>
    <w:rsid w:val="009A521F"/>
    <w:rsid w:val="009B00D8"/>
    <w:rsid w:val="009B2467"/>
    <w:rsid w:val="009B2BE8"/>
    <w:rsid w:val="009B70E9"/>
    <w:rsid w:val="009C17ED"/>
    <w:rsid w:val="009D00BF"/>
    <w:rsid w:val="009D0A91"/>
    <w:rsid w:val="009D133A"/>
    <w:rsid w:val="009D390A"/>
    <w:rsid w:val="009D5745"/>
    <w:rsid w:val="009E1CEE"/>
    <w:rsid w:val="009E7702"/>
    <w:rsid w:val="00A00722"/>
    <w:rsid w:val="00A025C0"/>
    <w:rsid w:val="00A0398B"/>
    <w:rsid w:val="00A10A11"/>
    <w:rsid w:val="00A120FF"/>
    <w:rsid w:val="00A163E7"/>
    <w:rsid w:val="00A1774C"/>
    <w:rsid w:val="00A20597"/>
    <w:rsid w:val="00A21353"/>
    <w:rsid w:val="00A225E5"/>
    <w:rsid w:val="00A22A44"/>
    <w:rsid w:val="00A27B8B"/>
    <w:rsid w:val="00A32BDC"/>
    <w:rsid w:val="00A33815"/>
    <w:rsid w:val="00A36395"/>
    <w:rsid w:val="00A41AFB"/>
    <w:rsid w:val="00A42941"/>
    <w:rsid w:val="00A441CC"/>
    <w:rsid w:val="00A51EAB"/>
    <w:rsid w:val="00A60786"/>
    <w:rsid w:val="00A60B6A"/>
    <w:rsid w:val="00A62601"/>
    <w:rsid w:val="00A64F1F"/>
    <w:rsid w:val="00A65229"/>
    <w:rsid w:val="00A65DCC"/>
    <w:rsid w:val="00A678C6"/>
    <w:rsid w:val="00A72B16"/>
    <w:rsid w:val="00A9112D"/>
    <w:rsid w:val="00A921C9"/>
    <w:rsid w:val="00A92B02"/>
    <w:rsid w:val="00A933D5"/>
    <w:rsid w:val="00A9342A"/>
    <w:rsid w:val="00AA3A1F"/>
    <w:rsid w:val="00AA6D31"/>
    <w:rsid w:val="00AB01FF"/>
    <w:rsid w:val="00AB0D25"/>
    <w:rsid w:val="00AB2364"/>
    <w:rsid w:val="00AB335E"/>
    <w:rsid w:val="00AC37DF"/>
    <w:rsid w:val="00AC7515"/>
    <w:rsid w:val="00AD381B"/>
    <w:rsid w:val="00AD4071"/>
    <w:rsid w:val="00AD719C"/>
    <w:rsid w:val="00AD7712"/>
    <w:rsid w:val="00AF0103"/>
    <w:rsid w:val="00AF030C"/>
    <w:rsid w:val="00AF419C"/>
    <w:rsid w:val="00B0313C"/>
    <w:rsid w:val="00B04191"/>
    <w:rsid w:val="00B044A3"/>
    <w:rsid w:val="00B10382"/>
    <w:rsid w:val="00B10C00"/>
    <w:rsid w:val="00B12265"/>
    <w:rsid w:val="00B13635"/>
    <w:rsid w:val="00B13D0F"/>
    <w:rsid w:val="00B15E97"/>
    <w:rsid w:val="00B15F70"/>
    <w:rsid w:val="00B1761A"/>
    <w:rsid w:val="00B17DEE"/>
    <w:rsid w:val="00B271C1"/>
    <w:rsid w:val="00B27599"/>
    <w:rsid w:val="00B3567A"/>
    <w:rsid w:val="00B357E4"/>
    <w:rsid w:val="00B371AF"/>
    <w:rsid w:val="00B373E2"/>
    <w:rsid w:val="00B53A89"/>
    <w:rsid w:val="00B54B49"/>
    <w:rsid w:val="00B55DBC"/>
    <w:rsid w:val="00B5712F"/>
    <w:rsid w:val="00B575AD"/>
    <w:rsid w:val="00B63C4B"/>
    <w:rsid w:val="00B66CAF"/>
    <w:rsid w:val="00B67F6B"/>
    <w:rsid w:val="00B7348E"/>
    <w:rsid w:val="00B76AA4"/>
    <w:rsid w:val="00B77902"/>
    <w:rsid w:val="00B8779B"/>
    <w:rsid w:val="00B91362"/>
    <w:rsid w:val="00B976A7"/>
    <w:rsid w:val="00B977D7"/>
    <w:rsid w:val="00BA7D65"/>
    <w:rsid w:val="00BB1417"/>
    <w:rsid w:val="00BB3A7B"/>
    <w:rsid w:val="00BC1BE9"/>
    <w:rsid w:val="00BC3A44"/>
    <w:rsid w:val="00BC4178"/>
    <w:rsid w:val="00BC4393"/>
    <w:rsid w:val="00BC4ABC"/>
    <w:rsid w:val="00BC61B6"/>
    <w:rsid w:val="00BD3BAD"/>
    <w:rsid w:val="00BD570A"/>
    <w:rsid w:val="00BD698E"/>
    <w:rsid w:val="00BE397E"/>
    <w:rsid w:val="00BE4F55"/>
    <w:rsid w:val="00BE60D4"/>
    <w:rsid w:val="00BE7816"/>
    <w:rsid w:val="00BF2E1E"/>
    <w:rsid w:val="00BF3709"/>
    <w:rsid w:val="00BF3C54"/>
    <w:rsid w:val="00C005CB"/>
    <w:rsid w:val="00C0722D"/>
    <w:rsid w:val="00C12BAE"/>
    <w:rsid w:val="00C16902"/>
    <w:rsid w:val="00C216C4"/>
    <w:rsid w:val="00C24C74"/>
    <w:rsid w:val="00C331DA"/>
    <w:rsid w:val="00C34833"/>
    <w:rsid w:val="00C41226"/>
    <w:rsid w:val="00C414CC"/>
    <w:rsid w:val="00C4270A"/>
    <w:rsid w:val="00C5119F"/>
    <w:rsid w:val="00C53165"/>
    <w:rsid w:val="00C5609E"/>
    <w:rsid w:val="00C57912"/>
    <w:rsid w:val="00C623B7"/>
    <w:rsid w:val="00C62F02"/>
    <w:rsid w:val="00C65092"/>
    <w:rsid w:val="00C666A4"/>
    <w:rsid w:val="00C67699"/>
    <w:rsid w:val="00C726B1"/>
    <w:rsid w:val="00C74CCD"/>
    <w:rsid w:val="00C761AE"/>
    <w:rsid w:val="00C81B2C"/>
    <w:rsid w:val="00CA4C7B"/>
    <w:rsid w:val="00CB11E0"/>
    <w:rsid w:val="00CB57FD"/>
    <w:rsid w:val="00CB7B12"/>
    <w:rsid w:val="00CC0FB2"/>
    <w:rsid w:val="00CC42BC"/>
    <w:rsid w:val="00CC5132"/>
    <w:rsid w:val="00CD245B"/>
    <w:rsid w:val="00CD4F8B"/>
    <w:rsid w:val="00CD576D"/>
    <w:rsid w:val="00CE5AC6"/>
    <w:rsid w:val="00CE7BBB"/>
    <w:rsid w:val="00CF20D8"/>
    <w:rsid w:val="00CF24B5"/>
    <w:rsid w:val="00CF44AB"/>
    <w:rsid w:val="00CF6290"/>
    <w:rsid w:val="00CF78EF"/>
    <w:rsid w:val="00D018A7"/>
    <w:rsid w:val="00D03947"/>
    <w:rsid w:val="00D0787B"/>
    <w:rsid w:val="00D16893"/>
    <w:rsid w:val="00D20C19"/>
    <w:rsid w:val="00D24FF7"/>
    <w:rsid w:val="00D264AE"/>
    <w:rsid w:val="00D33690"/>
    <w:rsid w:val="00D35F9F"/>
    <w:rsid w:val="00D40AA3"/>
    <w:rsid w:val="00D439E3"/>
    <w:rsid w:val="00D441B3"/>
    <w:rsid w:val="00D45F5A"/>
    <w:rsid w:val="00D53E4A"/>
    <w:rsid w:val="00D56CBC"/>
    <w:rsid w:val="00D57783"/>
    <w:rsid w:val="00D62C36"/>
    <w:rsid w:val="00D653BC"/>
    <w:rsid w:val="00D65612"/>
    <w:rsid w:val="00D65909"/>
    <w:rsid w:val="00D659A4"/>
    <w:rsid w:val="00D65DCD"/>
    <w:rsid w:val="00D6625A"/>
    <w:rsid w:val="00D7150C"/>
    <w:rsid w:val="00D73A96"/>
    <w:rsid w:val="00D76AB1"/>
    <w:rsid w:val="00D76C74"/>
    <w:rsid w:val="00D7707F"/>
    <w:rsid w:val="00D801B8"/>
    <w:rsid w:val="00D80295"/>
    <w:rsid w:val="00D813D8"/>
    <w:rsid w:val="00D81BDF"/>
    <w:rsid w:val="00D81F19"/>
    <w:rsid w:val="00D853A3"/>
    <w:rsid w:val="00D85CA2"/>
    <w:rsid w:val="00D86896"/>
    <w:rsid w:val="00D90731"/>
    <w:rsid w:val="00D9445B"/>
    <w:rsid w:val="00D97558"/>
    <w:rsid w:val="00DA0CDB"/>
    <w:rsid w:val="00DA50D7"/>
    <w:rsid w:val="00DB122F"/>
    <w:rsid w:val="00DB20EF"/>
    <w:rsid w:val="00DB4183"/>
    <w:rsid w:val="00DB61F8"/>
    <w:rsid w:val="00DB78AE"/>
    <w:rsid w:val="00DC39FA"/>
    <w:rsid w:val="00DC741B"/>
    <w:rsid w:val="00DD3D49"/>
    <w:rsid w:val="00DD6DD5"/>
    <w:rsid w:val="00DE3611"/>
    <w:rsid w:val="00DE4D54"/>
    <w:rsid w:val="00DE545A"/>
    <w:rsid w:val="00DE7F3F"/>
    <w:rsid w:val="00DF0DDA"/>
    <w:rsid w:val="00DF122F"/>
    <w:rsid w:val="00DF386B"/>
    <w:rsid w:val="00DF6960"/>
    <w:rsid w:val="00E0353A"/>
    <w:rsid w:val="00E116B5"/>
    <w:rsid w:val="00E11CBB"/>
    <w:rsid w:val="00E14E71"/>
    <w:rsid w:val="00E2082A"/>
    <w:rsid w:val="00E21596"/>
    <w:rsid w:val="00E23189"/>
    <w:rsid w:val="00E26BA3"/>
    <w:rsid w:val="00E31D20"/>
    <w:rsid w:val="00E3204E"/>
    <w:rsid w:val="00E323E9"/>
    <w:rsid w:val="00E455C6"/>
    <w:rsid w:val="00E466CA"/>
    <w:rsid w:val="00E5045E"/>
    <w:rsid w:val="00E50BD1"/>
    <w:rsid w:val="00E52A0B"/>
    <w:rsid w:val="00E55775"/>
    <w:rsid w:val="00E56509"/>
    <w:rsid w:val="00E56761"/>
    <w:rsid w:val="00E6048A"/>
    <w:rsid w:val="00E60951"/>
    <w:rsid w:val="00E63171"/>
    <w:rsid w:val="00E659FA"/>
    <w:rsid w:val="00E65EE2"/>
    <w:rsid w:val="00E7138A"/>
    <w:rsid w:val="00E8240F"/>
    <w:rsid w:val="00E82D25"/>
    <w:rsid w:val="00E853E3"/>
    <w:rsid w:val="00E92029"/>
    <w:rsid w:val="00E961C8"/>
    <w:rsid w:val="00E96D5D"/>
    <w:rsid w:val="00EA0070"/>
    <w:rsid w:val="00EA3FEC"/>
    <w:rsid w:val="00EA4ED5"/>
    <w:rsid w:val="00EB4453"/>
    <w:rsid w:val="00EB55B8"/>
    <w:rsid w:val="00EC0D7E"/>
    <w:rsid w:val="00EC5764"/>
    <w:rsid w:val="00EC71DA"/>
    <w:rsid w:val="00ED07A0"/>
    <w:rsid w:val="00ED0CB3"/>
    <w:rsid w:val="00EE5F67"/>
    <w:rsid w:val="00EE6400"/>
    <w:rsid w:val="00EF19E1"/>
    <w:rsid w:val="00EF384F"/>
    <w:rsid w:val="00EF696C"/>
    <w:rsid w:val="00F009D7"/>
    <w:rsid w:val="00F01290"/>
    <w:rsid w:val="00F11C49"/>
    <w:rsid w:val="00F15F7C"/>
    <w:rsid w:val="00F17777"/>
    <w:rsid w:val="00F21E56"/>
    <w:rsid w:val="00F21EE5"/>
    <w:rsid w:val="00F31CFF"/>
    <w:rsid w:val="00F404BD"/>
    <w:rsid w:val="00F4188F"/>
    <w:rsid w:val="00F52F08"/>
    <w:rsid w:val="00F60176"/>
    <w:rsid w:val="00F63867"/>
    <w:rsid w:val="00F66423"/>
    <w:rsid w:val="00F66949"/>
    <w:rsid w:val="00F7567C"/>
    <w:rsid w:val="00F834C2"/>
    <w:rsid w:val="00F84F9D"/>
    <w:rsid w:val="00F855CB"/>
    <w:rsid w:val="00F86F02"/>
    <w:rsid w:val="00F87B8F"/>
    <w:rsid w:val="00F87FD3"/>
    <w:rsid w:val="00F949C7"/>
    <w:rsid w:val="00F973C4"/>
    <w:rsid w:val="00FB0EA2"/>
    <w:rsid w:val="00FC0C0E"/>
    <w:rsid w:val="00FC3371"/>
    <w:rsid w:val="00FC3A62"/>
    <w:rsid w:val="00FC3C2A"/>
    <w:rsid w:val="00FC7DC5"/>
    <w:rsid w:val="00FD245E"/>
    <w:rsid w:val="00FD3EC0"/>
    <w:rsid w:val="00FD6EE2"/>
    <w:rsid w:val="00FF236F"/>
    <w:rsid w:val="00FF4068"/>
    <w:rsid w:val="00FF5B64"/>
    <w:rsid w:val="00FF67D6"/>
    <w:rsid w:val="0508421B"/>
    <w:rsid w:val="08EA637E"/>
    <w:rsid w:val="0A5B0905"/>
    <w:rsid w:val="0C7C7E9A"/>
    <w:rsid w:val="0DFE6E70"/>
    <w:rsid w:val="113D66AE"/>
    <w:rsid w:val="11700A63"/>
    <w:rsid w:val="17991F6C"/>
    <w:rsid w:val="1891018B"/>
    <w:rsid w:val="189A144E"/>
    <w:rsid w:val="1A710F7F"/>
    <w:rsid w:val="1C805CE3"/>
    <w:rsid w:val="1FEC2245"/>
    <w:rsid w:val="200F4990"/>
    <w:rsid w:val="20625F30"/>
    <w:rsid w:val="2112238F"/>
    <w:rsid w:val="26D7315A"/>
    <w:rsid w:val="315C059F"/>
    <w:rsid w:val="36CD717C"/>
    <w:rsid w:val="42EB3E2D"/>
    <w:rsid w:val="4518435E"/>
    <w:rsid w:val="47947EEE"/>
    <w:rsid w:val="4A6D0DD5"/>
    <w:rsid w:val="4BA42183"/>
    <w:rsid w:val="4D1B086D"/>
    <w:rsid w:val="4DAD3960"/>
    <w:rsid w:val="57CF73B1"/>
    <w:rsid w:val="58755CC2"/>
    <w:rsid w:val="5A6560B4"/>
    <w:rsid w:val="5A733EE2"/>
    <w:rsid w:val="5C3E4F47"/>
    <w:rsid w:val="5D5930DF"/>
    <w:rsid w:val="5E9F6493"/>
    <w:rsid w:val="601F7DA1"/>
    <w:rsid w:val="617D5026"/>
    <w:rsid w:val="637142D0"/>
    <w:rsid w:val="654B379D"/>
    <w:rsid w:val="67E91721"/>
    <w:rsid w:val="6BCB07DC"/>
    <w:rsid w:val="6BE21DD4"/>
    <w:rsid w:val="6CE0159E"/>
    <w:rsid w:val="71F413EE"/>
    <w:rsid w:val="74141BC2"/>
    <w:rsid w:val="75220020"/>
    <w:rsid w:val="7710779A"/>
    <w:rsid w:val="7ACC2F08"/>
    <w:rsid w:val="7DE14F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qFormat="1" w:uiPriority="39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4">
    <w:name w:val="toc 2"/>
    <w:basedOn w:val="1"/>
    <w:next w:val="1"/>
    <w:unhideWhenUsed/>
    <w:qFormat/>
    <w:locked/>
    <w:uiPriority w:val="39"/>
    <w:pPr>
      <w:tabs>
        <w:tab w:val="left" w:pos="1260"/>
        <w:tab w:val="right" w:leader="dot" w:pos="8296"/>
      </w:tabs>
      <w:spacing w:line="360" w:lineRule="auto"/>
      <w:ind w:left="440" w:leftChars="200"/>
    </w:pPr>
    <w:rPr>
      <w:rFonts w:ascii="Calibri" w:hAnsi="Calibri"/>
      <w:szCs w:val="22"/>
    </w:rPr>
  </w:style>
  <w:style w:type="character" w:customStyle="1" w:styleId="7">
    <w:name w:val="Footer Char"/>
    <w:qFormat/>
    <w:locked/>
    <w:uiPriority w:val="99"/>
    <w:rPr>
      <w:sz w:val="18"/>
      <w:szCs w:val="18"/>
    </w:rPr>
  </w:style>
  <w:style w:type="character" w:customStyle="1" w:styleId="8">
    <w:name w:val="Header Char"/>
    <w:semiHidden/>
    <w:qFormat/>
    <w:locked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locked/>
    <w:uiPriority w:val="99"/>
    <w:rPr>
      <w:sz w:val="18"/>
      <w:szCs w:val="18"/>
    </w:rPr>
  </w:style>
  <w:style w:type="character" w:customStyle="1" w:styleId="10">
    <w:name w:val="页眉 Char"/>
    <w:basedOn w:val="6"/>
    <w:link w:val="3"/>
    <w:semiHidden/>
    <w:qFormat/>
    <w:locked/>
    <w:uiPriority w:val="99"/>
    <w:rPr>
      <w:sz w:val="18"/>
      <w:szCs w:val="18"/>
    </w:rPr>
  </w:style>
  <w:style w:type="paragraph" w:customStyle="1" w:styleId="11">
    <w:name w:val="Char Char Char Char Char Char Char Char Char Char"/>
    <w:basedOn w:val="1"/>
    <w:qFormat/>
    <w:uiPriority w:val="99"/>
    <w:pPr>
      <w:ind w:left="432" w:hanging="432"/>
    </w:pPr>
    <w:rPr>
      <w:rFonts w:eastAsia="仿宋_GB2312"/>
      <w:sz w:val="24"/>
      <w:szCs w:val="24"/>
    </w:rPr>
  </w:style>
  <w:style w:type="paragraph" w:customStyle="1" w:styleId="12">
    <w:name w:val="Char"/>
    <w:basedOn w:val="1"/>
    <w:qFormat/>
    <w:uiPriority w:val="99"/>
    <w:rPr>
      <w:rFonts w:ascii="仿宋_GB2312" w:eastAsia="仿宋_GB2312" w:cs="仿宋_GB2312"/>
      <w:sz w:val="32"/>
      <w:szCs w:val="32"/>
    </w:rPr>
  </w:style>
  <w:style w:type="paragraph" w:customStyle="1" w:styleId="13">
    <w:name w:val="Char2"/>
    <w:basedOn w:val="1"/>
    <w:qFormat/>
    <w:uiPriority w:val="99"/>
    <w:rPr>
      <w:rFonts w:ascii="仿宋_GB2312" w:eastAsia="仿宋_GB2312" w:cs="仿宋_GB2312"/>
      <w:sz w:val="32"/>
      <w:szCs w:val="32"/>
    </w:rPr>
  </w:style>
  <w:style w:type="paragraph" w:customStyle="1" w:styleId="14">
    <w:name w:val="Char1"/>
    <w:basedOn w:val="1"/>
    <w:qFormat/>
    <w:uiPriority w:val="99"/>
    <w:rPr>
      <w:rFonts w:ascii="仿宋_GB2312" w:eastAsia="仿宋_GB2312" w:cs="仿宋_GB2312"/>
      <w:sz w:val="32"/>
      <w:szCs w:val="32"/>
    </w:rPr>
  </w:style>
  <w:style w:type="paragraph" w:customStyle="1" w:styleId="15">
    <w:name w:val="格式正文"/>
    <w:basedOn w:val="1"/>
    <w:link w:val="16"/>
    <w:qFormat/>
    <w:uiPriority w:val="0"/>
    <w:pPr>
      <w:adjustRightInd w:val="0"/>
      <w:snapToGrid w:val="0"/>
      <w:spacing w:line="570" w:lineRule="exact"/>
      <w:ind w:firstLine="640" w:firstLineChars="200"/>
    </w:pPr>
    <w:rPr>
      <w:rFonts w:ascii="仿宋_GB2312" w:eastAsia="仿宋_GB2312" w:hAnsiTheme="minorHAnsi" w:cstheme="minorBidi"/>
      <w:sz w:val="32"/>
      <w:szCs w:val="32"/>
    </w:rPr>
  </w:style>
  <w:style w:type="character" w:customStyle="1" w:styleId="16">
    <w:name w:val="格式正文 Char"/>
    <w:basedOn w:val="6"/>
    <w:link w:val="15"/>
    <w:qFormat/>
    <w:uiPriority w:val="0"/>
    <w:rPr>
      <w:rFonts w:ascii="仿宋_GB2312" w:eastAsia="仿宋_GB2312" w:hAnsiTheme="minorHAnsi" w:cstheme="minorBidi"/>
      <w:kern w:val="2"/>
      <w:sz w:val="32"/>
      <w:szCs w:val="32"/>
    </w:rPr>
  </w:style>
  <w:style w:type="character" w:customStyle="1" w:styleId="17">
    <w:name w:val="b-free-read-leaf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D2D07-7930-4784-BDB9-CD63D57E3D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5</Pages>
  <Words>2137</Words>
  <Characters>2358</Characters>
  <Lines>17</Lines>
  <Paragraphs>4</Paragraphs>
  <TotalTime>13</TotalTime>
  <ScaleCrop>false</ScaleCrop>
  <LinksUpToDate>false</LinksUpToDate>
  <CharactersWithSpaces>2405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2024-03-12T11:47:00Z</dcterms:created>
  <dc:creator>王鹏</dc:creator>
  <cp:lastModifiedBy>千帆过尽</cp:lastModifiedBy>
  <cp:lastPrinted>2020-04-09T07:32:00Z</cp:lastPrinted>
  <dcterms:modified xsi:type="dcterms:W3CDTF">2025-05-28T08:49:52Z</dcterms:modified>
  <dc:title>附4：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eyJoZGlkIjoiNWFiMTQ2NTVkODc2ZTQzMjFhMjNlZThhNDRkYzJiYTAiLCJ1c2VySWQiOiI0ODUxOTUwNjAifQ==</vt:lpwstr>
  </property>
  <property fmtid="{D5CDD505-2E9C-101B-9397-08002B2CF9AE}" pid="4" name="ICV">
    <vt:lpwstr>ADDAC3E0564547AD98C138CDDFF95EEA_12</vt:lpwstr>
  </property>
</Properties>
</file>