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0F0A3">
      <w:pPr>
        <w:spacing w:line="240" w:lineRule="exact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</w:p>
    <w:p w14:paraId="1A01E955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尤溪县2024年度省级财政国土绿化资金绩效自评报告</w:t>
      </w:r>
    </w:p>
    <w:p w14:paraId="62C8B622">
      <w:pPr>
        <w:spacing w:line="2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47FE97A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 w14:paraId="55EED77B">
      <w:pPr>
        <w:spacing w:line="56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（一）转移支付概况。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省财政厅 省林业局2024年共下达我县省级财政国土绿化资金1996.24万元，</w:t>
      </w:r>
      <w:r>
        <w:rPr>
          <w:rFonts w:hint="eastAsia" w:ascii="仿宋_GB2312" w:eastAsia="仿宋_GB2312"/>
          <w:sz w:val="32"/>
          <w:szCs w:val="32"/>
        </w:rPr>
        <w:t>其中造林绿化1981.24万元、林木良种培育补助15万元。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根据明财（资环）指〔2023〕94号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明财（资环）指〔202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</w:rPr>
        <w:t>号等文件，我县及时将任务全额分解各乡镇和有关单位，下发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《尤溪县绿化委员会关于切实抓好2024年造林绿化工作的通知》（尤绿委〔2024〕1号）。</w:t>
      </w:r>
    </w:p>
    <w:p w14:paraId="2114DF1E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（二）项目绩效目标。</w:t>
      </w:r>
    </w:p>
    <w:p w14:paraId="0F98BFD6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</w:t>
      </w:r>
      <w:r>
        <w:rPr>
          <w:rFonts w:hint="eastAsia" w:ascii="仿宋_GB2312" w:eastAsia="仿宋_GB2312"/>
          <w:b/>
          <w:bCs/>
          <w:sz w:val="32"/>
          <w:szCs w:val="32"/>
        </w:rPr>
        <w:t>成本指标：</w:t>
      </w:r>
      <w:r>
        <w:rPr>
          <w:rFonts w:hint="eastAsia" w:ascii="仿宋_GB2312" w:eastAsia="仿宋_GB2312"/>
          <w:bCs/>
          <w:sz w:val="32"/>
          <w:szCs w:val="32"/>
        </w:rPr>
        <w:t>油茶（新造）平均补助≤1200元/亩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bCs/>
          <w:sz w:val="32"/>
          <w:szCs w:val="32"/>
        </w:rPr>
        <w:t>珍贵用材树种造林平均补助≤550元/亩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bCs/>
          <w:sz w:val="32"/>
          <w:szCs w:val="32"/>
        </w:rPr>
        <w:t>重点区域林相改善新造平均补助≤2200元/亩；</w:t>
      </w:r>
    </w:p>
    <w:p w14:paraId="0A9E773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2.</w:t>
      </w:r>
      <w:r>
        <w:rPr>
          <w:rFonts w:hint="eastAsia" w:ascii="仿宋_GB2312" w:eastAsia="仿宋_GB2312"/>
          <w:b/>
          <w:bCs/>
          <w:sz w:val="32"/>
          <w:szCs w:val="32"/>
        </w:rPr>
        <w:t>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植树造林面积≥24250亩；森林抚育补助面积≥8800亩；重点区位林相改善面积≥1600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；油茶发展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≥6950；</w:t>
      </w:r>
      <w:r>
        <w:rPr>
          <w:rFonts w:hint="eastAsia" w:ascii="仿宋_GB2312" w:hAnsi="仿宋_GB2312" w:eastAsia="仿宋_GB2312" w:cs="仿宋_GB2312"/>
          <w:sz w:val="32"/>
          <w:szCs w:val="32"/>
        </w:rPr>
        <w:t>珍贵用材树种造林≥5700亩；省级森林村庄建设个数5个；建设管理省级林木种子基地1处等；古树名木保护株数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1株；</w:t>
      </w:r>
    </w:p>
    <w:p w14:paraId="5A0BD67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/>
          <w:b/>
          <w:bCs/>
          <w:sz w:val="32"/>
          <w:szCs w:val="32"/>
        </w:rPr>
        <w:t>质量指标：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造林成活率≥85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森林抚育质量合格率≥85%；古树名木成活率（%）≥85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78478B55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eastAsia="仿宋_GB2312"/>
          <w:b/>
          <w:bCs/>
          <w:sz w:val="32"/>
          <w:szCs w:val="32"/>
        </w:rPr>
        <w:t>时效指标：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植树造林完成及时率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</w:p>
    <w:p w14:paraId="5BE8C778">
      <w:pPr>
        <w:spacing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5.效益指标：生态效益指标：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提高森林质量，促进林分生长，森林抚育年度任务完成率≥100%；优化林分结构，松林皆伐改造和带状采伐改造完成率≥100%；</w:t>
      </w:r>
    </w:p>
    <w:p w14:paraId="79AB2657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5.满意度指标：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社会群众对造林绿化满意度≥90%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</w:p>
    <w:p w14:paraId="6D4CBFC1">
      <w:pPr>
        <w:spacing w:line="600" w:lineRule="exact"/>
        <w:ind w:left="420" w:leftChars="200"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 w14:paraId="71A4EA98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（一）资金投入情况分析。</w:t>
      </w:r>
      <w:r>
        <w:rPr>
          <w:rFonts w:hint="eastAsia" w:ascii="仿宋_GB2312" w:eastAsia="仿宋_GB2312"/>
          <w:sz w:val="32"/>
          <w:szCs w:val="32"/>
        </w:rPr>
        <w:t>截至2025年3月23日，省上下达我县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省级财政国土绿化资金1996.24万元，资金指标分配到位1996.24万元，资金到位率100%。</w:t>
      </w:r>
    </w:p>
    <w:p w14:paraId="08D5B26A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资金执行情况分析。</w:t>
      </w:r>
      <w:r>
        <w:rPr>
          <w:rFonts w:hint="eastAsia" w:ascii="仿宋_GB2312" w:eastAsia="仿宋_GB2312"/>
          <w:sz w:val="32"/>
          <w:szCs w:val="32"/>
        </w:rPr>
        <w:t>截至2025年3月23日，尤溪县国土绿化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支出50万元，到位资金执行率2.5%，实际支出率2.5%。</w:t>
      </w:r>
    </w:p>
    <w:p w14:paraId="56DC937C">
      <w:pPr>
        <w:pStyle w:val="3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（二）资金管理情况分析。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严格执行资金管理办法。严格按照《福建省省级财政国土绿化专项资金管理办法》（闽财规〔2024〕23号）等有关规定执行，加强国土绿化资金管理。</w:t>
      </w:r>
    </w:p>
    <w:p w14:paraId="34B6C04A">
      <w:pPr>
        <w:ind w:firstLine="640" w:firstLineChars="200"/>
        <w:jc w:val="left"/>
        <w:rPr>
          <w:rFonts w:ascii="仿宋_GB2312" w:hAnsi="Helvetica" w:eastAsia="仿宋_GB2312" w:cs="Helvetica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sz w:val="32"/>
          <w:szCs w:val="32"/>
        </w:rPr>
        <w:t>2、资金下达及时。截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至2024年12月底，县级财政及时将</w:t>
      </w:r>
      <w:r>
        <w:rPr>
          <w:rFonts w:hint="eastAsia" w:ascii="仿宋_GB2312" w:hAnsi="Helvetica" w:eastAsia="仿宋_GB2312" w:cs="Helvetica"/>
          <w:sz w:val="32"/>
          <w:szCs w:val="32"/>
          <w:shd w:val="clear" w:color="auto" w:fill="FFFFFF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财政资金指标分配</w:t>
      </w:r>
      <w:r>
        <w:rPr>
          <w:rFonts w:hint="eastAsia" w:ascii="仿宋_GB2312" w:eastAsia="仿宋_GB2312"/>
          <w:sz w:val="32"/>
          <w:szCs w:val="32"/>
        </w:rPr>
        <w:t>到位。</w:t>
      </w:r>
    </w:p>
    <w:p w14:paraId="1E5213E3">
      <w:pPr>
        <w:spacing w:line="560" w:lineRule="exact"/>
        <w:ind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3、资金拔付合规。严格按照国库集中支付有关规定执行，拔付手续完备。</w:t>
      </w:r>
    </w:p>
    <w:p w14:paraId="01A6F8E2">
      <w:pPr>
        <w:spacing w:line="560" w:lineRule="exact"/>
        <w:ind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4、资金使用规范。根据项目建设内容和实施方案规定执行，专款专用，未出现截留、挤占、挪用或擅自调整等问题。</w:t>
      </w:r>
    </w:p>
    <w:p w14:paraId="3816C58C">
      <w:pPr>
        <w:spacing w:line="560" w:lineRule="exact"/>
        <w:ind w:firstLine="640" w:firstLineChars="200"/>
      </w:pPr>
      <w:r>
        <w:rPr>
          <w:rFonts w:hint="eastAsia" w:ascii="仿宋_GB2312" w:hAnsi="仿宋" w:eastAsia="仿宋_GB2312"/>
          <w:sz w:val="32"/>
          <w:szCs w:val="32"/>
        </w:rPr>
        <w:t>5、预算绩效管理落实到位。绩效目标合理，绩效目标任务和预算资金相匹配；同时加强绩效目标管理，开展事中绩效监控（评价）和年度绩效评价。</w:t>
      </w:r>
      <w:r>
        <w:rPr>
          <w:rFonts w:hint="eastAsia" w:ascii="仿宋_GB2312" w:hAnsi="楷体_GB2312" w:eastAsia="仿宋_GB2312" w:cs="楷体_GB2312"/>
          <w:bCs/>
          <w:sz w:val="32"/>
          <w:szCs w:val="32"/>
        </w:rPr>
        <w:t>对发现问题及时整改，确保资金使用规范安全，促进管理效能和资金使用绩效双提升。</w:t>
      </w:r>
    </w:p>
    <w:p w14:paraId="1170478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（四）总体绩效目标完成情况分析。</w:t>
      </w:r>
      <w:bookmarkEnd w:id="0"/>
      <w:r>
        <w:rPr>
          <w:rFonts w:hint="eastAsia" w:ascii="仿宋_GB2312" w:eastAsia="仿宋_GB2312"/>
          <w:sz w:val="32"/>
          <w:szCs w:val="32"/>
        </w:rPr>
        <w:t>2024年我县按照中央及省上有关资金管理办法和年初下达的绩效目标，较好完成年初省上下达的各项绩效指标。</w:t>
      </w:r>
    </w:p>
    <w:p w14:paraId="109F9CC7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</w:t>
      </w:r>
      <w:r>
        <w:rPr>
          <w:rFonts w:hint="eastAsia" w:ascii="仿宋_GB2312" w:eastAsia="仿宋_GB2312"/>
          <w:b/>
          <w:bCs/>
          <w:sz w:val="32"/>
          <w:szCs w:val="32"/>
        </w:rPr>
        <w:t>成本指标：</w:t>
      </w:r>
      <w:r>
        <w:rPr>
          <w:rFonts w:hint="eastAsia" w:ascii="仿宋_GB2312" w:eastAsia="仿宋_GB2312"/>
          <w:bCs/>
          <w:sz w:val="32"/>
          <w:szCs w:val="32"/>
        </w:rPr>
        <w:t>油茶（新造）平均补助≤1000元/亩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bCs/>
          <w:sz w:val="32"/>
          <w:szCs w:val="32"/>
        </w:rPr>
        <w:t>珍贵用材树种造林平均补助≤500元/亩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bCs/>
          <w:sz w:val="32"/>
          <w:szCs w:val="32"/>
        </w:rPr>
        <w:t>重点区域林相改善新造平均补助≤2000元/亩；</w:t>
      </w:r>
    </w:p>
    <w:p w14:paraId="7557A4F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2.</w:t>
      </w:r>
      <w:r>
        <w:rPr>
          <w:rFonts w:hint="eastAsia" w:ascii="仿宋_GB2312" w:eastAsia="仿宋_GB2312"/>
          <w:b/>
          <w:bCs/>
          <w:sz w:val="32"/>
          <w:szCs w:val="32"/>
        </w:rPr>
        <w:t>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2024年度全县共完成省级财政造林绿化64276亩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珍贵用材树种造林13808亩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重点区位林相改善1929亩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建设管理省级林木种子基地1处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森林村庄建设5个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油茶发展10337亩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森林抚育补助面积15679亩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t>古树名木保护株数1株；</w:t>
      </w:r>
      <w:bookmarkStart w:id="1" w:name="_GoBack"/>
      <w:bookmarkEnd w:id="1"/>
    </w:p>
    <w:p w14:paraId="31B6DC0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/>
          <w:b/>
          <w:bCs/>
          <w:sz w:val="32"/>
          <w:szCs w:val="32"/>
        </w:rPr>
        <w:t>质量指标：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造林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成活</w:t>
      </w:r>
      <w:r>
        <w:rPr>
          <w:rFonts w:hint="eastAsia" w:ascii="仿宋_GB2312" w:hAnsi="仿宋_GB2312" w:eastAsia="仿宋_GB2312" w:cs="仿宋_GB2312"/>
          <w:sz w:val="32"/>
          <w:szCs w:val="32"/>
        </w:rPr>
        <w:t>率85%；森林抚育质量合格率85%，古树名木成活率100%；</w:t>
      </w:r>
    </w:p>
    <w:p w14:paraId="5452268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eastAsia="仿宋_GB2312"/>
          <w:b/>
          <w:bCs/>
          <w:sz w:val="32"/>
          <w:szCs w:val="32"/>
        </w:rPr>
        <w:t>时效指标：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植树造林完成及时率100%；</w:t>
      </w:r>
    </w:p>
    <w:p w14:paraId="15E3727F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5.生态效益指标：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提高森林质量，促进林分生长，森林抚育年度任务完成率178.2%；优化林分结构，松林皆伐改造和带状采伐改造完成率131.9%；</w:t>
      </w:r>
    </w:p>
    <w:p w14:paraId="64CA5106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 5.满意度指标：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社会群众对造林绿化满意度90%。</w:t>
      </w:r>
    </w:p>
    <w:p w14:paraId="49657924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 w14:paraId="703D679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2024年我县省级财政国土绿化资金绩效目标全部完成，不存在偏离。</w:t>
      </w:r>
    </w:p>
    <w:p w14:paraId="40B8986B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7215C5A7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绩效评价结果应用采取与预算资金安排相结合，与完善制度规范管理相结合，作为改进管理以及下一年度争取中央和省市国土绿化资金安排、分配的重要依据。绩效评价工作中发现的问题，提出的整改建议，能在规定时间内反馈整改结果并进行公开，接受社会公众的监督。</w:t>
      </w:r>
    </w:p>
    <w:p w14:paraId="14050C9A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五、其他需要说明的问题（无）</w:t>
      </w:r>
    </w:p>
    <w:p w14:paraId="64CBADB8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六、中央巡视各级审计和财政监督中发现的问题及其所涉及的金额（无）</w:t>
      </w:r>
    </w:p>
    <w:p w14:paraId="75CC8F58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1EA5748D">
      <w:pPr>
        <w:pStyle w:val="3"/>
        <w:spacing w:line="560" w:lineRule="exact"/>
        <w:ind w:left="1380" w:leftChars="200" w:hanging="960" w:hanging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附件：专项资金绩效目标自评表（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国土绿化专项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E557FE"/>
    <w:rsid w:val="00065583"/>
    <w:rsid w:val="000C468B"/>
    <w:rsid w:val="000D7E63"/>
    <w:rsid w:val="000F7D61"/>
    <w:rsid w:val="00102100"/>
    <w:rsid w:val="00133535"/>
    <w:rsid w:val="00277397"/>
    <w:rsid w:val="002C6415"/>
    <w:rsid w:val="0032126D"/>
    <w:rsid w:val="003725F6"/>
    <w:rsid w:val="003756E8"/>
    <w:rsid w:val="00387E4D"/>
    <w:rsid w:val="00422171"/>
    <w:rsid w:val="0045389D"/>
    <w:rsid w:val="00497F16"/>
    <w:rsid w:val="00517E35"/>
    <w:rsid w:val="007E1F3F"/>
    <w:rsid w:val="00835774"/>
    <w:rsid w:val="00867EF9"/>
    <w:rsid w:val="0096418F"/>
    <w:rsid w:val="00986950"/>
    <w:rsid w:val="009B71E1"/>
    <w:rsid w:val="009F1049"/>
    <w:rsid w:val="00A043D9"/>
    <w:rsid w:val="00B045DC"/>
    <w:rsid w:val="00B97F59"/>
    <w:rsid w:val="00BE6202"/>
    <w:rsid w:val="00BF4A77"/>
    <w:rsid w:val="00C643E0"/>
    <w:rsid w:val="00CE1958"/>
    <w:rsid w:val="00D07D0A"/>
    <w:rsid w:val="00D9586C"/>
    <w:rsid w:val="00DD1766"/>
    <w:rsid w:val="00E557FE"/>
    <w:rsid w:val="00F51D44"/>
    <w:rsid w:val="00FD0152"/>
    <w:rsid w:val="00FD224F"/>
    <w:rsid w:val="0C0D512F"/>
    <w:rsid w:val="17EC6540"/>
    <w:rsid w:val="21A221F1"/>
    <w:rsid w:val="2B45448D"/>
    <w:rsid w:val="319E6D11"/>
    <w:rsid w:val="346040E6"/>
    <w:rsid w:val="376822D6"/>
    <w:rsid w:val="3AE95ED3"/>
    <w:rsid w:val="3B046EE9"/>
    <w:rsid w:val="4BDC1B11"/>
    <w:rsid w:val="5F371C64"/>
    <w:rsid w:val="62A25746"/>
    <w:rsid w:val="6CA72DE0"/>
    <w:rsid w:val="6EA840E4"/>
    <w:rsid w:val="6F4F13E1"/>
    <w:rsid w:val="731C6E4F"/>
    <w:rsid w:val="75F23E97"/>
    <w:rsid w:val="7B5C229E"/>
    <w:rsid w:val="7EBC14E6"/>
    <w:rsid w:val="7FF54C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sz w:val="32"/>
      <w:szCs w:val="32"/>
      <w:lang w:eastAsia="en-US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0"/>
    <w:rPr>
      <w:rFonts w:ascii="仿宋" w:hAnsi="仿宋" w:eastAsia="仿宋" w:cs="仿宋"/>
      <w:snapToGrid w:val="0"/>
      <w:color w:val="000000"/>
      <w:kern w:val="0"/>
      <w:sz w:val="32"/>
      <w:szCs w:val="32"/>
      <w:lang w:eastAsia="en-US"/>
    </w:rPr>
  </w:style>
  <w:style w:type="character" w:customStyle="1" w:styleId="10">
    <w:name w:val="样式1 Char"/>
    <w:basedOn w:val="6"/>
    <w:link w:val="11"/>
    <w:autoRedefine/>
    <w:qFormat/>
    <w:uiPriority w:val="0"/>
    <w:rPr>
      <w:rFonts w:ascii="宋体" w:hAnsi="宋体" w:eastAsia="FangSong_GB2312" w:cs="Times New Roman"/>
      <w:sz w:val="32"/>
    </w:rPr>
  </w:style>
  <w:style w:type="paragraph" w:customStyle="1" w:styleId="11">
    <w:name w:val="样式1"/>
    <w:basedOn w:val="1"/>
    <w:link w:val="10"/>
    <w:autoRedefine/>
    <w:qFormat/>
    <w:uiPriority w:val="0"/>
    <w:pPr>
      <w:ind w:firstLine="627" w:firstLineChars="196"/>
    </w:pPr>
    <w:rPr>
      <w:rFonts w:ascii="宋体" w:hAnsi="宋体" w:eastAsia="FangSong_GB2312" w:cs="Times New Roman"/>
      <w:kern w:val="2"/>
      <w:sz w:val="32"/>
    </w:rPr>
  </w:style>
  <w:style w:type="character" w:customStyle="1" w:styleId="12">
    <w:name w:val="样式 (西文) 宋体 (中文) 仿宋_GB2312 三号 加粗"/>
    <w:basedOn w:val="6"/>
    <w:autoRedefine/>
    <w:qFormat/>
    <w:uiPriority w:val="0"/>
    <w:rPr>
      <w:rFonts w:ascii="宋体" w:hAnsi="宋体" w:eastAsia="FangSong_GB2312"/>
      <w:bCs/>
      <w:spacing w:val="-4"/>
      <w:sz w:val="32"/>
    </w:rPr>
  </w:style>
  <w:style w:type="character" w:customStyle="1" w:styleId="13">
    <w:name w:val="15"/>
    <w:basedOn w:val="6"/>
    <w:autoRedefine/>
    <w:qFormat/>
    <w:uiPriority w:val="0"/>
    <w:rPr>
      <w:rFonts w:hint="eastAsia" w:asci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1531</Words>
  <Characters>1710</Characters>
  <Lines>13</Lines>
  <Paragraphs>3</Paragraphs>
  <TotalTime>36</TotalTime>
  <ScaleCrop>false</ScaleCrop>
  <LinksUpToDate>false</LinksUpToDate>
  <CharactersWithSpaces>1712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2025-03-08T07:33:00Z</dcterms:created>
  <dc:creator>User</dc:creator>
  <cp:lastModifiedBy>千帆过尽</cp:lastModifiedBy>
  <dcterms:modified xsi:type="dcterms:W3CDTF">2025-05-28T01:17:01Z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eyJoZGlkIjoiNWFiMTQ2NTVkODc2ZTQzMjFhMjNlZThhNDRkYzJiYTAiLCJ1c2VySWQiOiI0ODUxOTUwNjAifQ==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E621749A61A54F44AE32509597BC2525_12</vt:lpwstr>
  </property>
</Properties>
</file>