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0EAC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尤溪县2024年度省级财政林业生态补偿资金自评报告</w:t>
      </w:r>
    </w:p>
    <w:p w14:paraId="3C90FDFA"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03CB6D9B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bookmarkStart w:id="0" w:name="OLE_LINK2"/>
      <w:bookmarkStart w:id="1" w:name="OLE_LINK3"/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 w14:paraId="311DAA9F">
      <w:pPr>
        <w:spacing w:line="560" w:lineRule="exact"/>
        <w:ind w:firstLine="800" w:firstLineChars="250"/>
        <w:rPr>
          <w:rFonts w:eastAsia="仿宋_GB231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（一）转移支付概况。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省财政厅 省林业局2024年共下达我县省级财政林业生态补偿资金1032.86万元，</w:t>
      </w:r>
      <w:r>
        <w:rPr>
          <w:rFonts w:hint="eastAsia" w:ascii="仿宋_GB2312" w:eastAsia="仿宋_GB2312"/>
          <w:sz w:val="32"/>
          <w:szCs w:val="32"/>
        </w:rPr>
        <w:t>其中省级生态林补助1011.29万元、省级以上林权所有者补助21.57万元。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根据闽财资环指[2023]45号、明财（资环）指[2023]83号等文件，我县及时将任务全额分解各乡镇和有关单位。</w:t>
      </w:r>
    </w:p>
    <w:bookmarkEnd w:id="0"/>
    <w:bookmarkEnd w:id="1"/>
    <w:p w14:paraId="05FBA4AE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（二）项目绩效目标。</w:t>
      </w:r>
    </w:p>
    <w:p w14:paraId="4F72EFBA">
      <w:pPr>
        <w:spacing w:line="600" w:lineRule="exact"/>
        <w:ind w:firstLine="643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.成本指标：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省级以上公益林中经济林、竹林的补助标准≤22元/亩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sz w:val="32"/>
          <w:szCs w:val="32"/>
        </w:rPr>
        <w:t>省级以上公益林中乔木林、其他林地的补助标准≤23元/亩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省级以上自然保护地林权所有者补助≤3元/亩；</w:t>
      </w:r>
    </w:p>
    <w:p w14:paraId="050EFBDB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</w:rPr>
        <w:t>.</w:t>
      </w:r>
      <w:r>
        <w:rPr>
          <w:rFonts w:hint="eastAsia" w:ascii="仿宋_GB2312" w:eastAsia="仿宋_GB2312"/>
          <w:b/>
          <w:bCs/>
          <w:sz w:val="32"/>
          <w:szCs w:val="32"/>
        </w:rPr>
        <w:t>数量指标：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实施省级以上公益林补助面积96.18万亩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C6F8372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eastAsia="仿宋_GB2312"/>
          <w:b/>
          <w:bCs/>
          <w:sz w:val="32"/>
          <w:szCs w:val="32"/>
        </w:rPr>
        <w:t>质量指标：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全省生态公益林保有量96.18万亩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自然保护区林权所有者补偿资金补助面积变化100%；</w:t>
      </w:r>
    </w:p>
    <w:p w14:paraId="5364D9C8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eastAsia="仿宋_GB2312"/>
          <w:b/>
          <w:bCs/>
          <w:sz w:val="32"/>
          <w:szCs w:val="32"/>
        </w:rPr>
        <w:t>时效指标：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项目任务完成率≥90%；</w:t>
      </w:r>
    </w:p>
    <w:p w14:paraId="7B3C2792">
      <w:pPr>
        <w:spacing w:line="60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5.效益指标：</w:t>
      </w:r>
      <w:r>
        <w:rPr>
          <w:rFonts w:hint="eastAsia" w:ascii="仿宋_GB2312" w:eastAsia="仿宋_GB2312"/>
          <w:bCs/>
          <w:sz w:val="32"/>
          <w:szCs w:val="32"/>
        </w:rPr>
        <w:t>公益林平均亩蓄积量变化100%；</w:t>
      </w:r>
    </w:p>
    <w:p w14:paraId="79BA3D84">
      <w:pPr>
        <w:spacing w:line="60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6.满意度指标：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公益林林权所有者满意度90%；省级以上自然保护地林权所有者满意度90%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</w:p>
    <w:p w14:paraId="6F1E73DA">
      <w:pPr>
        <w:spacing w:line="600" w:lineRule="exact"/>
        <w:ind w:left="420" w:leftChars="200"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二、绩效情况分析</w:t>
      </w:r>
    </w:p>
    <w:p w14:paraId="652D9BDC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（一）资金投入情况分析。</w:t>
      </w:r>
      <w:r>
        <w:rPr>
          <w:rFonts w:hint="eastAsia" w:ascii="仿宋_GB2312" w:eastAsia="仿宋_GB2312"/>
          <w:sz w:val="32"/>
          <w:szCs w:val="32"/>
        </w:rPr>
        <w:t>截至2025年3月23日，省上下达我县省级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财政林业生态补偿资金1032.86万元，资金指标分配到位1032.86万元，资金到位率100%。</w:t>
      </w:r>
    </w:p>
    <w:p w14:paraId="106375CA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资金执行情况分析。</w:t>
      </w:r>
      <w:r>
        <w:rPr>
          <w:rFonts w:hint="eastAsia" w:ascii="仿宋_GB2312" w:eastAsia="仿宋_GB2312"/>
          <w:sz w:val="32"/>
          <w:szCs w:val="32"/>
        </w:rPr>
        <w:t>截至2025年3月23日，尤溪县省级林业生态补偿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支出906万元，到位资金执行率87.72%，实际支出率87.72%。</w:t>
      </w:r>
    </w:p>
    <w:p w14:paraId="6E36DE17">
      <w:pPr>
        <w:pStyle w:val="3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（二）资金管理情况分析。</w:t>
      </w:r>
      <w:bookmarkStart w:id="2" w:name="OLE_LINK1"/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严格执行资金管理办法。严格按照《福建省省级财政林业生态补偿补助资金管理办法的通知》（闽财规〔2024〕24号）等有关规定执行，加强林业生态补偿补助资金的管理。</w:t>
      </w:r>
    </w:p>
    <w:p w14:paraId="0D1C1D1D">
      <w:pPr>
        <w:ind w:firstLine="640" w:firstLineChars="200"/>
        <w:jc w:val="left"/>
        <w:rPr>
          <w:rFonts w:ascii="仿宋_GB2312" w:hAnsi="Helvetica" w:eastAsia="仿宋_GB2312" w:cs="Helvetica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sz w:val="32"/>
          <w:szCs w:val="32"/>
        </w:rPr>
        <w:t>2、资金下达及时。截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至2024年12月底，县级财政及时将</w:t>
      </w:r>
      <w:r>
        <w:rPr>
          <w:rFonts w:hint="eastAsia" w:ascii="仿宋_GB2312" w:hAnsi="Helvetica" w:eastAsia="仿宋_GB2312" w:cs="Helvetica"/>
          <w:sz w:val="32"/>
          <w:szCs w:val="32"/>
          <w:shd w:val="clear" w:color="auto" w:fill="FFFFFF"/>
        </w:rPr>
        <w:t>省级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财政资金指标分配</w:t>
      </w:r>
      <w:r>
        <w:rPr>
          <w:rFonts w:hint="eastAsia" w:ascii="仿宋_GB2312" w:eastAsia="仿宋_GB2312"/>
          <w:sz w:val="32"/>
          <w:szCs w:val="32"/>
        </w:rPr>
        <w:t>到位。</w:t>
      </w:r>
    </w:p>
    <w:p w14:paraId="2DC84E9D">
      <w:pPr>
        <w:spacing w:line="560" w:lineRule="exact"/>
        <w:ind w:firstLine="6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3、资金拔付合规。严格按照国库集中支付有关规定执行，拔付手续完备。</w:t>
      </w:r>
    </w:p>
    <w:p w14:paraId="537BD6BF">
      <w:pPr>
        <w:spacing w:line="560" w:lineRule="exact"/>
        <w:ind w:firstLine="6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4、资金使用规范。根据项目建设内容和实施方案规定执行，专款专用，未出现截留、挤占、挪用或擅自调整等问题。</w:t>
      </w:r>
    </w:p>
    <w:p w14:paraId="186A02F6">
      <w:pPr>
        <w:spacing w:line="560" w:lineRule="exact"/>
        <w:ind w:firstLine="640" w:firstLineChars="200"/>
      </w:pPr>
      <w:r>
        <w:rPr>
          <w:rFonts w:hint="eastAsia" w:ascii="仿宋_GB2312" w:hAnsi="仿宋" w:eastAsia="仿宋_GB2312"/>
          <w:sz w:val="32"/>
          <w:szCs w:val="32"/>
        </w:rPr>
        <w:t>5、预算绩效管理落实到位。绩效目标合理，绩效目标任务和预算资金相匹配；同时加强绩效目标管理，开展事中绩效监控（评价）和年度绩效评价。</w:t>
      </w:r>
      <w:r>
        <w:rPr>
          <w:rFonts w:hint="eastAsia" w:ascii="仿宋_GB2312" w:hAnsi="楷体_GB2312" w:eastAsia="仿宋_GB2312" w:cs="楷体_GB2312"/>
          <w:bCs/>
          <w:sz w:val="32"/>
          <w:szCs w:val="32"/>
        </w:rPr>
        <w:t>对发现问题及时整改，确保资金使用规范安全，促进管理效能和资金使用绩效双提升。</w:t>
      </w:r>
    </w:p>
    <w:p w14:paraId="2AF61255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（四）总体绩效目标完成情况分析。</w:t>
      </w:r>
      <w:bookmarkEnd w:id="2"/>
      <w:r>
        <w:rPr>
          <w:rFonts w:hint="eastAsia" w:ascii="仿宋_GB2312" w:eastAsia="仿宋_GB2312"/>
          <w:sz w:val="32"/>
          <w:szCs w:val="32"/>
        </w:rPr>
        <w:t>2024年我县按照中央及省上有关资金管理办法和年初下达的绩效目标，较好完成年初省上下达的各项绩效指标。</w:t>
      </w:r>
    </w:p>
    <w:p w14:paraId="57027CAA">
      <w:pPr>
        <w:spacing w:line="600" w:lineRule="exact"/>
        <w:ind w:firstLine="643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.成本指标：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省级以上公益林中经济林、竹林的补助标准22元/亩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省级以上公益林中乔木林、其他林地的补助标准23元/亩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省级以上自然保护地林权所有者补助3元/亩；</w:t>
      </w:r>
    </w:p>
    <w:p w14:paraId="3E22467B">
      <w:pPr>
        <w:spacing w:line="6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.</w:t>
      </w:r>
      <w:r>
        <w:rPr>
          <w:rFonts w:hint="eastAsia" w:ascii="仿宋_GB2312" w:eastAsia="仿宋_GB2312"/>
          <w:b/>
          <w:bCs/>
          <w:sz w:val="32"/>
          <w:szCs w:val="32"/>
        </w:rPr>
        <w:t>数量指标：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实施省级以上公益林补助面积96.18万亩；</w:t>
      </w:r>
    </w:p>
    <w:p w14:paraId="7AB1AF4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eastAsia="仿宋_GB2312"/>
          <w:b/>
          <w:bCs/>
          <w:sz w:val="32"/>
          <w:szCs w:val="32"/>
        </w:rPr>
        <w:t>质量指标：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全省生态公益林保有量96.18万亩；自然保护区林权所有者补偿资金补助面积变化100%；</w:t>
      </w:r>
    </w:p>
    <w:p w14:paraId="4D71ED57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eastAsia="仿宋_GB2312"/>
          <w:b/>
          <w:bCs/>
          <w:sz w:val="32"/>
          <w:szCs w:val="32"/>
        </w:rPr>
        <w:t>时效指标：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项目任务完成率93.04%；</w:t>
      </w:r>
    </w:p>
    <w:p w14:paraId="1FE82EBE">
      <w:pPr>
        <w:spacing w:line="60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5.效益指标：</w:t>
      </w:r>
      <w:r>
        <w:rPr>
          <w:rFonts w:hint="eastAsia" w:ascii="仿宋_GB2312" w:eastAsia="仿宋_GB2312"/>
          <w:bCs/>
          <w:sz w:val="32"/>
          <w:szCs w:val="32"/>
        </w:rPr>
        <w:t>公益林平均亩蓄积量变化100%；</w:t>
      </w:r>
    </w:p>
    <w:p w14:paraId="5C734C8A">
      <w:pPr>
        <w:spacing w:line="60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6.满意度指标：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公益林林权所有者满意度90%；省级以上自然保护地林权所有者满意度90%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</w:p>
    <w:p w14:paraId="12F77A69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 w14:paraId="52D66BB2">
      <w:pPr>
        <w:ind w:firstLine="627" w:firstLineChars="196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2024年我县省级财政林业生态补偿资金绩效目标全部完成，不存在偏离。</w:t>
      </w:r>
    </w:p>
    <w:p w14:paraId="2FF3E8B5">
      <w:pPr>
        <w:ind w:firstLine="627" w:firstLineChars="196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 w14:paraId="2D69AE58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绩效评价结果应用采取与预算资金安排相结合，与完善制度规范管理相结合，作为改进管理以及下一年度争取中央和省市林业生态补偿资金安排、分配的重要依据。绩效评价工作中发现的问题，提出的整改建议，能在规定时间内反馈整改结果并进行公开，接受社会公众的监督。</w:t>
      </w:r>
    </w:p>
    <w:p w14:paraId="4D294A9A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五、其他需要说明的问题（无）</w:t>
      </w:r>
    </w:p>
    <w:p w14:paraId="7DA107C9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六、中央巡视各级审计和财政监督中发现的问题及其所涉及的金额（无）</w:t>
      </w:r>
    </w:p>
    <w:p w14:paraId="7C53C1AF">
      <w:pPr>
        <w:pStyle w:val="3"/>
        <w:spacing w:line="560" w:lineRule="exact"/>
        <w:ind w:left="1380" w:leftChars="200" w:hanging="960" w:hanging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附件：专项资金绩效目标自评表（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林业生态补偿专项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_GB2312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57FE"/>
    <w:rsid w:val="0000223A"/>
    <w:rsid w:val="0002324C"/>
    <w:rsid w:val="00065583"/>
    <w:rsid w:val="000C468B"/>
    <w:rsid w:val="0012445E"/>
    <w:rsid w:val="00133535"/>
    <w:rsid w:val="001E6F5F"/>
    <w:rsid w:val="00206937"/>
    <w:rsid w:val="002C6415"/>
    <w:rsid w:val="00312CD6"/>
    <w:rsid w:val="0032418F"/>
    <w:rsid w:val="003725F6"/>
    <w:rsid w:val="003756E8"/>
    <w:rsid w:val="0045389D"/>
    <w:rsid w:val="00471D00"/>
    <w:rsid w:val="00497F16"/>
    <w:rsid w:val="004E54F3"/>
    <w:rsid w:val="004F0EBB"/>
    <w:rsid w:val="00517E35"/>
    <w:rsid w:val="00565F42"/>
    <w:rsid w:val="00704B73"/>
    <w:rsid w:val="007A115F"/>
    <w:rsid w:val="007A7631"/>
    <w:rsid w:val="007F159A"/>
    <w:rsid w:val="008419BB"/>
    <w:rsid w:val="00867EF9"/>
    <w:rsid w:val="009709D5"/>
    <w:rsid w:val="009A74DB"/>
    <w:rsid w:val="009B63D6"/>
    <w:rsid w:val="00A433C1"/>
    <w:rsid w:val="00A45D32"/>
    <w:rsid w:val="00AA7424"/>
    <w:rsid w:val="00B045DC"/>
    <w:rsid w:val="00BD284D"/>
    <w:rsid w:val="00BE6202"/>
    <w:rsid w:val="00C643E0"/>
    <w:rsid w:val="00C91809"/>
    <w:rsid w:val="00CE1958"/>
    <w:rsid w:val="00D07D0A"/>
    <w:rsid w:val="00D9586C"/>
    <w:rsid w:val="00E557FE"/>
    <w:rsid w:val="00EE1F50"/>
    <w:rsid w:val="00F0343E"/>
    <w:rsid w:val="00FD0152"/>
    <w:rsid w:val="00FD099B"/>
    <w:rsid w:val="475C47E2"/>
    <w:rsid w:val="64191ACD"/>
    <w:rsid w:val="65FD2C93"/>
    <w:rsid w:val="781A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sz w:val="32"/>
      <w:szCs w:val="32"/>
      <w:lang w:eastAsia="en-US"/>
    </w:r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semiHidden/>
    <w:qFormat/>
    <w:uiPriority w:val="0"/>
    <w:rPr>
      <w:rFonts w:ascii="仿宋" w:hAnsi="仿宋" w:eastAsia="仿宋" w:cs="仿宋"/>
      <w:snapToGrid w:val="0"/>
      <w:color w:val="000000"/>
      <w:kern w:val="0"/>
      <w:sz w:val="32"/>
      <w:szCs w:val="32"/>
      <w:lang w:eastAsia="en-US"/>
    </w:rPr>
  </w:style>
  <w:style w:type="character" w:customStyle="1" w:styleId="10">
    <w:name w:val="样式1 Char"/>
    <w:basedOn w:val="6"/>
    <w:link w:val="11"/>
    <w:autoRedefine/>
    <w:qFormat/>
    <w:uiPriority w:val="0"/>
    <w:rPr>
      <w:rFonts w:ascii="宋体" w:hAnsi="宋体" w:eastAsia="FangSong_GB2312" w:cs="Times New Roman"/>
      <w:sz w:val="32"/>
    </w:rPr>
  </w:style>
  <w:style w:type="paragraph" w:customStyle="1" w:styleId="11">
    <w:name w:val="样式1"/>
    <w:basedOn w:val="1"/>
    <w:link w:val="10"/>
    <w:autoRedefine/>
    <w:qFormat/>
    <w:uiPriority w:val="0"/>
    <w:pPr>
      <w:ind w:firstLine="627" w:firstLineChars="196"/>
    </w:pPr>
    <w:rPr>
      <w:rFonts w:ascii="宋体" w:hAnsi="宋体" w:eastAsia="FangSong_GB2312" w:cs="Times New Roman"/>
      <w:kern w:val="2"/>
      <w:sz w:val="32"/>
    </w:rPr>
  </w:style>
  <w:style w:type="character" w:customStyle="1" w:styleId="12">
    <w:name w:val="样式 (西文) 宋体 (中文) 仿宋_GB2312 三号 加粗"/>
    <w:basedOn w:val="6"/>
    <w:autoRedefine/>
    <w:qFormat/>
    <w:uiPriority w:val="0"/>
    <w:rPr>
      <w:rFonts w:ascii="宋体" w:hAnsi="宋体" w:eastAsia="FangSong_GB2312"/>
      <w:bCs/>
      <w:spacing w:val="-4"/>
      <w:sz w:val="32"/>
    </w:rPr>
  </w:style>
  <w:style w:type="character" w:customStyle="1" w:styleId="13">
    <w:name w:val="15"/>
    <w:basedOn w:val="6"/>
    <w:autoRedefine/>
    <w:qFormat/>
    <w:uiPriority w:val="0"/>
    <w:rPr>
      <w:rFonts w:hint="eastAsia" w:ascii="仿宋_GB2312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1351</Words>
  <Characters>1495</Characters>
  <Lines>12</Lines>
  <Paragraphs>3</Paragraphs>
  <TotalTime>24</TotalTime>
  <ScaleCrop>false</ScaleCrop>
  <LinksUpToDate>false</LinksUpToDate>
  <CharactersWithSpaces>1496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2025-03-08T07:33:00Z</dcterms:created>
  <dc:creator>User</dc:creator>
  <cp:lastModifiedBy>千帆过尽</cp:lastModifiedBy>
  <dcterms:modified xsi:type="dcterms:W3CDTF">2025-05-28T01:15:54Z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eyJoZGlkIjoiNWFiMTQ2NTVkODc2ZTQzMjFhMjNlZThhNDRkYzJiYTAiLCJ1c2VySWQiOiI0ODUxOTUwNjAifQ==</vt:lpwstr>
  </property>
  <property fmtid="{D5CDD505-2E9C-101B-9397-08002B2CF9AE}" pid="3" name="KSOProductBuildVer">
    <vt:lpwstr>2052-12.1.0.21171</vt:lpwstr>
  </property>
  <property fmtid="{D5CDD505-2E9C-101B-9397-08002B2CF9AE}" pid="4" name="ICV">
    <vt:lpwstr>108F4F63C8FE4CF2834B5DAD0B7CA1CB_12</vt:lpwstr>
  </property>
</Properties>
</file>