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008B8">
      <w:pPr>
        <w:jc w:val="right"/>
        <w:rPr>
          <w:rFonts w:hint="eastAsia" w:ascii="Calibri" w:hAnsi="Calibri" w:eastAsia="宋体" w:cs="Times New Roman"/>
          <w:b/>
          <w:bCs/>
          <w:color w:val="auto"/>
          <w:sz w:val="28"/>
          <w:szCs w:val="28"/>
          <w:highlight w:val="none"/>
          <w:lang w:val="en-US" w:eastAsia="zh-CN"/>
        </w:rPr>
      </w:pPr>
      <w:r>
        <w:rPr>
          <w:rFonts w:hint="eastAsia" w:ascii="仿宋_GB2312" w:hAnsi="仿宋_GB2312" w:eastAsia="仿宋_GB2312" w:cs="仿宋_GB2312"/>
          <w:highlight w:val="none"/>
          <w:lang w:val="en-US" w:eastAsia="zh-Hans"/>
        </w:rPr>
        <w:t>　</w:t>
      </w:r>
      <w:r>
        <w:rPr>
          <w:rFonts w:hint="eastAsia" w:ascii="Calibri" w:hAnsi="Calibri" w:eastAsia="宋体" w:cs="Times New Roman"/>
          <w:b/>
          <w:bCs/>
          <w:color w:val="auto"/>
          <w:sz w:val="28"/>
          <w:szCs w:val="28"/>
          <w:highlight w:val="none"/>
          <w:lang w:val="en-US" w:eastAsia="zh-CN"/>
        </w:rPr>
        <w:t>征求意见版招标文件经采购人确认，同意发布！</w:t>
      </w:r>
    </w:p>
    <w:p w14:paraId="45D41540">
      <w:pPr>
        <w:ind w:firstLine="2530" w:firstLineChars="900"/>
        <w:rPr>
          <w:rFonts w:hint="eastAsia" w:ascii="Calibri" w:hAnsi="Calibri" w:eastAsia="宋体" w:cs="Times New Roman"/>
          <w:highlight w:val="none"/>
          <w:lang w:val="en-US" w:eastAsia="zh-Hans"/>
        </w:rPr>
      </w:pPr>
      <w:r>
        <w:rPr>
          <w:rFonts w:hint="eastAsia" w:ascii="Calibri" w:hAnsi="Calibri" w:eastAsia="宋体" w:cs="Times New Roman"/>
          <w:b/>
          <w:bCs/>
          <w:color w:val="auto"/>
          <w:sz w:val="28"/>
          <w:szCs w:val="28"/>
          <w:highlight w:val="none"/>
          <w:lang w:val="en-US" w:eastAsia="zh-CN"/>
        </w:rPr>
        <w:t>采购人盖章（封面章、骑缝章）</w:t>
      </w:r>
      <w:r>
        <w:rPr>
          <w:rFonts w:hint="eastAsia" w:ascii="Calibri" w:hAnsi="Calibri" w:eastAsia="宋体" w:cs="Times New Roman"/>
          <w:color w:val="auto"/>
          <w:highlight w:val="none"/>
          <w:lang w:val="en-US" w:eastAsia="zh-Hans"/>
        </w:rPr>
        <w:br w:type="textWrapping"/>
      </w:r>
    </w:p>
    <w:p w14:paraId="4DA8D6A1">
      <w:pPr>
        <w:jc w:val="center"/>
        <w:outlineLvl w:val="0"/>
        <w:rPr>
          <w:rFonts w:hint="eastAsia" w:ascii="仿宋_GB2312" w:hAnsi="仿宋_GB2312" w:eastAsia="仿宋_GB2312" w:cs="仿宋_GB2312"/>
          <w:b/>
          <w:sz w:val="48"/>
          <w:highlight w:val="none"/>
          <w:lang w:val="en-US" w:eastAsia="zh-Hans"/>
        </w:rPr>
      </w:pPr>
    </w:p>
    <w:p w14:paraId="75498962">
      <w:pPr>
        <w:jc w:val="center"/>
        <w:outlineLvl w:val="0"/>
        <w:rPr>
          <w:rFonts w:hint="eastAsia" w:ascii="仿宋_GB2312" w:hAnsi="仿宋_GB2312" w:eastAsia="仿宋_GB2312" w:cs="仿宋_GB2312"/>
          <w:b/>
          <w:sz w:val="48"/>
          <w:highlight w:val="none"/>
          <w:lang w:val="en-US" w:eastAsia="zh-Hans"/>
        </w:rPr>
      </w:pPr>
    </w:p>
    <w:p w14:paraId="558FAC7A">
      <w:pPr>
        <w:jc w:val="center"/>
        <w:outlineLvl w:val="0"/>
        <w:rPr>
          <w:rFonts w:hint="eastAsia" w:ascii="仿宋_GB2312" w:hAnsi="仿宋_GB2312" w:eastAsia="仿宋_GB2312" w:cs="仿宋_GB2312"/>
          <w:b/>
          <w:sz w:val="48"/>
          <w:highlight w:val="none"/>
          <w:lang w:val="en-US" w:eastAsia="zh-Hans"/>
        </w:rPr>
      </w:pPr>
    </w:p>
    <w:p w14:paraId="76EA22C0">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福建省政府采购</w:t>
      </w:r>
    </w:p>
    <w:p w14:paraId="73E02F80">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货物和服务项目</w:t>
      </w:r>
    </w:p>
    <w:p w14:paraId="103E46A7">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公开招标文件</w:t>
      </w:r>
    </w:p>
    <w:p w14:paraId="3B46EDB8">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项目名称：</w:t>
      </w:r>
      <w:r>
        <w:rPr>
          <w:rFonts w:hint="eastAsia" w:ascii="仿宋_GB2312" w:hAnsi="仿宋_GB2312" w:eastAsia="仿宋_GB2312" w:cs="仿宋_GB2312"/>
          <w:b/>
          <w:sz w:val="28"/>
          <w:highlight w:val="none"/>
          <w:lang w:val="en-US" w:eastAsia="zh-CN"/>
        </w:rPr>
        <w:t>尤溪县无人机空地一体体系建设项目</w:t>
      </w:r>
    </w:p>
    <w:p w14:paraId="6898DDDD">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 xml:space="preserve">备案编号：CGXM-2026-350426-00375 </w:t>
      </w:r>
      <w:r>
        <w:rPr>
          <w:rFonts w:hint="eastAsia" w:ascii="仿宋_GB2312" w:hAnsi="仿宋_GB2312" w:eastAsia="仿宋_GB2312" w:cs="仿宋_GB2312"/>
          <w:b/>
          <w:sz w:val="28"/>
          <w:highlight w:val="none"/>
          <w:lang w:val="en-US" w:eastAsia="zh-CN"/>
        </w:rPr>
        <w:t xml:space="preserve"> </w:t>
      </w:r>
    </w:p>
    <w:p w14:paraId="38D4B7DA">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项目编号：[35042</w:t>
      </w:r>
      <w:r>
        <w:rPr>
          <w:rFonts w:hint="eastAsia" w:ascii="仿宋_GB2312" w:hAnsi="仿宋_GB2312" w:eastAsia="仿宋_GB2312" w:cs="仿宋_GB2312"/>
          <w:b/>
          <w:sz w:val="28"/>
          <w:highlight w:val="none"/>
          <w:lang w:val="en-US" w:eastAsia="zh-CN"/>
        </w:rPr>
        <w:t>6</w:t>
      </w:r>
      <w:r>
        <w:rPr>
          <w:rFonts w:hint="eastAsia" w:ascii="仿宋_GB2312" w:hAnsi="仿宋_GB2312" w:eastAsia="仿宋_GB2312" w:cs="仿宋_GB2312"/>
          <w:b/>
          <w:sz w:val="28"/>
          <w:highlight w:val="none"/>
          <w:lang w:val="en-US" w:eastAsia="zh-Hans"/>
        </w:rPr>
        <w:t>]MHSGC[GK]2026001</w:t>
      </w:r>
    </w:p>
    <w:p w14:paraId="7A36DD7A">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采购人：</w:t>
      </w:r>
      <w:r>
        <w:rPr>
          <w:rFonts w:hint="eastAsia" w:ascii="仿宋_GB2312" w:hAnsi="仿宋_GB2312" w:eastAsia="仿宋_GB2312" w:cs="仿宋_GB2312"/>
          <w:b/>
          <w:sz w:val="28"/>
          <w:highlight w:val="none"/>
          <w:lang w:val="en-US" w:eastAsia="zh-CN"/>
        </w:rPr>
        <w:t>尤溪县应急管理局</w:t>
      </w:r>
    </w:p>
    <w:p w14:paraId="7DB2DAC4">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代理机构：</w:t>
      </w:r>
      <w:r>
        <w:rPr>
          <w:rFonts w:hint="eastAsia" w:ascii="仿宋_GB2312" w:hAnsi="仿宋_GB2312" w:eastAsia="仿宋_GB2312" w:cs="仿宋_GB2312"/>
          <w:b/>
          <w:sz w:val="28"/>
          <w:highlight w:val="none"/>
          <w:lang w:val="en-US" w:eastAsia="zh-CN"/>
        </w:rPr>
        <w:t>闽华晟建设发展有限公司</w:t>
      </w:r>
    </w:p>
    <w:p w14:paraId="031F41A9">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编制时间：2026年</w:t>
      </w:r>
      <w:r>
        <w:rPr>
          <w:rFonts w:hint="eastAsia" w:ascii="仿宋_GB2312" w:hAnsi="仿宋_GB2312" w:eastAsia="仿宋_GB2312" w:cs="仿宋_GB2312"/>
          <w:b/>
          <w:sz w:val="28"/>
          <w:highlight w:val="none"/>
          <w:lang w:val="en-US" w:eastAsia="zh-CN"/>
        </w:rPr>
        <w:t>08</w:t>
      </w:r>
      <w:r>
        <w:rPr>
          <w:rFonts w:hint="eastAsia" w:ascii="仿宋_GB2312" w:hAnsi="仿宋_GB2312" w:eastAsia="仿宋_GB2312" w:cs="仿宋_GB2312"/>
          <w:b/>
          <w:sz w:val="28"/>
          <w:highlight w:val="none"/>
          <w:lang w:val="en-US" w:eastAsia="zh-Hans"/>
        </w:rPr>
        <w:t>月</w:t>
      </w:r>
    </w:p>
    <w:p w14:paraId="0C3CFF78">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3E66CEAC">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第一章 投标邀请</w:t>
      </w:r>
    </w:p>
    <w:p w14:paraId="614F44E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采用公开招标方式组织</w:t>
      </w:r>
      <w:r>
        <w:rPr>
          <w:rFonts w:hint="eastAsia" w:ascii="仿宋_GB2312" w:hAnsi="仿宋_GB2312" w:eastAsia="仿宋_GB2312" w:cs="仿宋_GB2312"/>
          <w:highlight w:val="none"/>
          <w:lang w:val="en-US" w:eastAsia="zh-CN"/>
        </w:rPr>
        <w:t>尤溪县无人机空地一体体系建设项目</w:t>
      </w:r>
      <w:r>
        <w:rPr>
          <w:rFonts w:hint="eastAsia" w:ascii="仿宋_GB2312" w:hAnsi="仿宋_GB2312" w:eastAsia="仿宋_GB2312" w:cs="仿宋_GB2312"/>
          <w:highlight w:val="none"/>
          <w:lang w:val="en-US" w:eastAsia="zh-Hans"/>
        </w:rPr>
        <w:t xml:space="preserve"> （以下简称：“本项目”）的政府采购活动，现邀请供应商参加投标。</w:t>
      </w:r>
    </w:p>
    <w:p w14:paraId="79FA5625">
      <w:pPr>
        <w:ind w:firstLine="480"/>
        <w:jc w:val="left"/>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 xml:space="preserve">1、备案编号：CGXM-2026-350426-00375 </w:t>
      </w:r>
      <w:r>
        <w:rPr>
          <w:rFonts w:hint="eastAsia" w:ascii="仿宋_GB2312" w:hAnsi="仿宋_GB2312" w:eastAsia="仿宋_GB2312" w:cs="仿宋_GB2312"/>
          <w:b/>
          <w:sz w:val="28"/>
          <w:highlight w:val="none"/>
          <w:lang w:val="en-US" w:eastAsia="zh-CN"/>
        </w:rPr>
        <w:t xml:space="preserve"> </w:t>
      </w:r>
    </w:p>
    <w:p w14:paraId="0F6E1C8D">
      <w:pPr>
        <w:ind w:firstLine="480"/>
        <w:jc w:val="left"/>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2、项目编号：</w:t>
      </w:r>
      <w:r>
        <w:rPr>
          <w:rFonts w:hint="eastAsia" w:ascii="仿宋_GB2312" w:hAnsi="仿宋_GB2312" w:eastAsia="仿宋_GB2312" w:cs="仿宋_GB2312"/>
          <w:b/>
          <w:sz w:val="28"/>
          <w:highlight w:val="none"/>
          <w:lang w:val="en-US" w:eastAsia="zh-CN"/>
        </w:rPr>
        <w:t>[350426]MHSGC[GK]2026001</w:t>
      </w:r>
    </w:p>
    <w:p w14:paraId="3F3C09A0">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3、预算金额、最高限价：详见《采购标的一览表》。</w:t>
      </w:r>
    </w:p>
    <w:p w14:paraId="0138CDED">
      <w:pPr>
        <w:ind w:firstLine="480"/>
        <w:jc w:val="left"/>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4、招标内容及要求：详见《采购标的一览表》及招标文件第五章。</w:t>
      </w:r>
    </w:p>
    <w:p w14:paraId="4D4379B4">
      <w:pPr>
        <w:ind w:firstLine="480"/>
        <w:jc w:val="left"/>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5、需要落实的政府采购政策</w:t>
      </w:r>
    </w:p>
    <w:p w14:paraId="7222E06B">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进口产品：不适用</w:t>
      </w:r>
    </w:p>
    <w:p w14:paraId="62368513">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节能产品：不适用</w:t>
      </w:r>
    </w:p>
    <w:p w14:paraId="1CCA57F0">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环境标志产品：不适用</w:t>
      </w:r>
    </w:p>
    <w:p w14:paraId="4C4B5B6C">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促进中小企业发展的相关政策：</w:t>
      </w:r>
    </w:p>
    <w:p w14:paraId="1978B53A">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采购包1：不专门面向中小企业采购</w:t>
      </w:r>
    </w:p>
    <w:p w14:paraId="70FF7D21">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6、投标人的资格要求</w:t>
      </w:r>
    </w:p>
    <w:p w14:paraId="7A3B6F0E">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6.1法定条件：符合政府采购法第二十二条第一款规定的条件。</w:t>
      </w:r>
    </w:p>
    <w:p w14:paraId="5CB3F92F">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6.2特定条件：</w:t>
      </w:r>
    </w:p>
    <w:p w14:paraId="24F25649">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E1E9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3B2639A">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资格审查要求概况</w:t>
            </w:r>
          </w:p>
        </w:tc>
        <w:tc>
          <w:tcPr>
            <w:tcW w:w="4614" w:type="dxa"/>
          </w:tcPr>
          <w:p w14:paraId="68D6895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评审点具体描述</w:t>
            </w:r>
          </w:p>
        </w:tc>
      </w:tr>
      <w:tr w14:paraId="7AE36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1F3750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资格承诺函</w:t>
            </w:r>
          </w:p>
        </w:tc>
        <w:tc>
          <w:tcPr>
            <w:tcW w:w="4614" w:type="dxa"/>
          </w:tcPr>
          <w:p w14:paraId="13F896A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①本采购包允许供应商采用资格承诺制。采用资格承诺制的供应商，应当根据投标</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响应</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DF30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14:paraId="13BB839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开标现场随身携带材料</w:t>
            </w:r>
          </w:p>
        </w:tc>
        <w:tc>
          <w:tcPr>
            <w:tcW w:w="4614" w:type="dxa"/>
            <w:vAlign w:val="top"/>
          </w:tcPr>
          <w:p w14:paraId="4FD6294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项目不接受远程解密，所有准备在开标现场解密的供应商代表均需手持本人身份证原件及CA认证卡（数字证书）用于现场解密电子版投标文件。供应商代表为单位负责人的需手持营业执照及身份证正反面复印件；如果供应商代表不是单位负责人，供应商代表需单独手持《单位负责人授权书》（附单位负责人身份证及被授权人身份证正反面复印件）以便现场核查</w:t>
            </w:r>
          </w:p>
        </w:tc>
      </w:tr>
    </w:tbl>
    <w:p w14:paraId="787D87F5">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6.3是否接受联合体投标：</w:t>
      </w:r>
    </w:p>
    <w:p w14:paraId="4E48D35C">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采购包1：接受</w:t>
      </w:r>
    </w:p>
    <w:p w14:paraId="440EE55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b/>
          <w:highlight w:val="none"/>
          <w:lang w:val="en-US" w:eastAsia="zh-Hans"/>
        </w:rPr>
        <w:t>※根据上述资格要求，电子投标文件中应提交的“投标人的资格及资信证明文件”详见招标文件第四章。</w:t>
      </w:r>
    </w:p>
    <w:p w14:paraId="36CC4B3E">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7、招标文件的获取</w:t>
      </w:r>
    </w:p>
    <w:p w14:paraId="3B3F0D97">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7.1、招标文件获取期限：详见招标公告或更正公告，若不一致，以更正公告为准。</w:t>
      </w:r>
    </w:p>
    <w:p w14:paraId="02B3FA6E">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7.2、在招标文件获取期限内，供应商应通过福建省政府采购网上公开信息系统的注册账号（免费注册）并获取招标文件</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登录福建省政府采购网上公开信息系统进行文件获取</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，否则投标将被拒绝。</w:t>
      </w:r>
    </w:p>
    <w:p w14:paraId="74EBC89E">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7.3、获取地点及方式：注册账号后，通过福建省政府采购网上公开信息系统以下载方式获取。</w:t>
      </w:r>
    </w:p>
    <w:p w14:paraId="4CE91042">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7.4、招标文件售价：0元。</w:t>
      </w:r>
    </w:p>
    <w:p w14:paraId="27DEBBEB">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8、投标截止</w:t>
      </w:r>
    </w:p>
    <w:p w14:paraId="4AB50256">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8.1、投标截止时间：详见招标公告或更正公告，若不一致，以更正公告为准。</w:t>
      </w:r>
    </w:p>
    <w:p w14:paraId="192BBE1D">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8.2、投标人应在投标截止时间前按照福建省政府采购网上公开信息系统设定的操作流程将电子投标文件上传至福建省政府采购网上公开信息系统，否则投标将被拒绝。</w:t>
      </w:r>
    </w:p>
    <w:p w14:paraId="0FC73FBF">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9、开标时间及地点</w:t>
      </w:r>
    </w:p>
    <w:p w14:paraId="236791A5">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详见招标公告或更正公告，若不一致，以更正公告为准。</w:t>
      </w:r>
    </w:p>
    <w:p w14:paraId="3A3129E4">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10、公告期限</w:t>
      </w:r>
    </w:p>
    <w:p w14:paraId="2C72DCAD">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10.1、招标公告的公告期限：自财政部和福建省财政厅指定的政府采购信息发布媒体最先发布公告之日起5个工作日。</w:t>
      </w:r>
    </w:p>
    <w:p w14:paraId="3EB35B7C">
      <w:pPr>
        <w:ind w:firstLine="96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10.2、招标文件公告期限：招标文件随同招标公告一并发布，其公告期限与招标公告的公告期限保持一致。</w:t>
      </w:r>
    </w:p>
    <w:p w14:paraId="4754F355">
      <w:pPr>
        <w:ind w:firstLine="480"/>
        <w:jc w:val="left"/>
        <w:outlineLvl w:val="2"/>
        <w:rPr>
          <w:rFonts w:hint="eastAsia" w:ascii="仿宋_GB2312" w:hAnsi="仿宋_GB2312" w:eastAsia="仿宋_GB2312" w:cs="仿宋_GB2312"/>
          <w:b/>
          <w:color w:val="auto"/>
          <w:sz w:val="28"/>
          <w:highlight w:val="none"/>
          <w:lang w:val="en-US" w:eastAsia="zh-CN"/>
        </w:rPr>
      </w:pPr>
      <w:r>
        <w:rPr>
          <w:rFonts w:hint="eastAsia" w:ascii="仿宋_GB2312" w:hAnsi="仿宋_GB2312" w:eastAsia="仿宋_GB2312" w:cs="仿宋_GB2312"/>
          <w:b/>
          <w:color w:val="auto"/>
          <w:sz w:val="28"/>
          <w:highlight w:val="none"/>
          <w:lang w:val="en-US" w:eastAsia="zh-Hans"/>
        </w:rPr>
        <w:t>11、采购人：</w:t>
      </w:r>
      <w:r>
        <w:rPr>
          <w:rFonts w:hint="eastAsia" w:ascii="仿宋_GB2312" w:hAnsi="仿宋_GB2312" w:eastAsia="仿宋_GB2312" w:cs="仿宋_GB2312"/>
          <w:b/>
          <w:color w:val="auto"/>
          <w:sz w:val="28"/>
          <w:highlight w:val="none"/>
          <w:lang w:val="en-US" w:eastAsia="zh-CN"/>
        </w:rPr>
        <w:t>尤溪县应急管理局</w:t>
      </w:r>
    </w:p>
    <w:p w14:paraId="646F2ED7">
      <w:pPr>
        <w:jc w:val="left"/>
        <w:outlineLvl w:val="2"/>
        <w:rPr>
          <w:rFonts w:hint="eastAsia" w:ascii="Calibri" w:hAnsi="Calibri" w:eastAsia="仿宋_GB2312" w:cs="Times New Roman"/>
          <w:color w:val="auto"/>
          <w:highlight w:val="none"/>
          <w:lang w:val="en-US" w:eastAsia="zh-CN"/>
        </w:rPr>
      </w:pPr>
      <w:r>
        <w:rPr>
          <w:rFonts w:hint="eastAsia" w:ascii="仿宋_GB2312" w:hAnsi="仿宋_GB2312" w:eastAsia="仿宋_GB2312" w:cs="仿宋_GB2312"/>
          <w:color w:val="auto"/>
          <w:highlight w:val="none"/>
          <w:lang w:val="en-US" w:eastAsia="zh-Hans"/>
        </w:rPr>
        <w:t xml:space="preserve">地址：福建省三明市尤溪县城关镇中心路8号 </w:t>
      </w:r>
    </w:p>
    <w:p w14:paraId="54859503">
      <w:pPr>
        <w:jc w:val="left"/>
        <w:rPr>
          <w:rFonts w:hint="eastAsia" w:ascii="仿宋_GB2312" w:hAnsi="仿宋_GB2312" w:eastAsia="仿宋_GB2312" w:cs="仿宋_GB2312"/>
          <w:color w:val="auto"/>
          <w:highlight w:val="none"/>
          <w:lang w:val="en-US" w:eastAsia="zh-Hans"/>
        </w:rPr>
      </w:pPr>
      <w:r>
        <w:rPr>
          <w:rFonts w:hint="eastAsia" w:ascii="仿宋_GB2312" w:hAnsi="仿宋_GB2312" w:eastAsia="仿宋_GB2312" w:cs="仿宋_GB2312"/>
          <w:color w:val="auto"/>
          <w:highlight w:val="none"/>
          <w:lang w:val="en-US" w:eastAsia="zh-Hans"/>
        </w:rPr>
        <w:t>邮编：365100</w:t>
      </w:r>
    </w:p>
    <w:p w14:paraId="6FF64B3D">
      <w:pPr>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Hans"/>
        </w:rPr>
        <w:t>联系人：</w:t>
      </w:r>
      <w:r>
        <w:rPr>
          <w:rFonts w:hint="eastAsia" w:ascii="仿宋_GB2312" w:hAnsi="仿宋_GB2312" w:eastAsia="仿宋_GB2312" w:cs="仿宋_GB2312"/>
          <w:color w:val="auto"/>
          <w:highlight w:val="none"/>
          <w:lang w:val="en-US" w:eastAsia="zh-CN"/>
        </w:rPr>
        <w:t>郭先生</w:t>
      </w:r>
    </w:p>
    <w:p w14:paraId="714DA88D">
      <w:pPr>
        <w:jc w:val="left"/>
        <w:rPr>
          <w:rFonts w:hint="default" w:ascii="Calibri" w:hAnsi="Calibri" w:eastAsia="仿宋_GB2312" w:cs="Times New Roman"/>
          <w:color w:val="auto"/>
          <w:highlight w:val="none"/>
          <w:lang w:val="en-US" w:eastAsia="zh-CN"/>
        </w:rPr>
      </w:pPr>
      <w:r>
        <w:rPr>
          <w:rFonts w:hint="eastAsia" w:ascii="仿宋_GB2312" w:hAnsi="仿宋_GB2312" w:eastAsia="仿宋_GB2312" w:cs="仿宋_GB2312"/>
          <w:color w:val="auto"/>
          <w:highlight w:val="none"/>
          <w:lang w:val="en-US" w:eastAsia="zh-Hans"/>
        </w:rPr>
        <w:t>联系电话：</w:t>
      </w:r>
      <w:r>
        <w:rPr>
          <w:rFonts w:hint="eastAsia" w:ascii="仿宋_GB2312" w:hAnsi="仿宋_GB2312" w:eastAsia="仿宋_GB2312" w:cs="仿宋_GB2312"/>
          <w:color w:val="auto"/>
          <w:highlight w:val="none"/>
          <w:lang w:val="en-US" w:eastAsia="zh-CN"/>
        </w:rPr>
        <w:t>13860577278</w:t>
      </w:r>
    </w:p>
    <w:p w14:paraId="3AB53546">
      <w:pPr>
        <w:ind w:firstLine="480"/>
        <w:jc w:val="left"/>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12、代理机构：</w:t>
      </w:r>
      <w:r>
        <w:rPr>
          <w:rFonts w:hint="eastAsia" w:ascii="仿宋_GB2312" w:hAnsi="仿宋_GB2312" w:eastAsia="仿宋_GB2312" w:cs="仿宋_GB2312"/>
          <w:b/>
          <w:sz w:val="28"/>
          <w:highlight w:val="none"/>
          <w:lang w:val="en-US" w:eastAsia="zh-CN"/>
        </w:rPr>
        <w:t>闽华晟建设发展有限公司</w:t>
      </w:r>
    </w:p>
    <w:p w14:paraId="457CF1A8">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地址：厦禾路666号海翼大厦1502</w:t>
      </w:r>
    </w:p>
    <w:p w14:paraId="78E732D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邮编：365599</w:t>
      </w:r>
    </w:p>
    <w:p w14:paraId="6E2FA26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联系人：陈秀文</w:t>
      </w:r>
    </w:p>
    <w:p w14:paraId="6815610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联系电话：</w:t>
      </w:r>
      <w:r>
        <w:rPr>
          <w:rFonts w:hint="eastAsia" w:ascii="仿宋_GB2312" w:hAnsi="仿宋_GB2312" w:eastAsia="仿宋_GB2312" w:cs="仿宋_GB2312"/>
          <w:highlight w:val="none"/>
          <w:lang w:val="en-US" w:eastAsia="zh-CN"/>
        </w:rPr>
        <w:t>13616933093</w:t>
      </w:r>
      <w:r>
        <w:rPr>
          <w:rFonts w:hint="eastAsia" w:ascii="仿宋_GB2312" w:hAnsi="仿宋_GB2312" w:eastAsia="仿宋_GB2312" w:cs="仿宋_GB2312"/>
          <w:highlight w:val="none"/>
          <w:lang w:val="en-US" w:eastAsia="zh-Hans"/>
        </w:rPr>
        <w:t xml:space="preserve"> </w:t>
      </w:r>
    </w:p>
    <w:p w14:paraId="77B20FFB">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1B52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1842C8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投标保证金账户</w:t>
            </w:r>
          </w:p>
          <w:p w14:paraId="2A785136">
            <w:pPr>
              <w:jc w:val="left"/>
              <w:rPr>
                <w:rFonts w:hint="eastAsia" w:ascii="Calibri" w:hAnsi="Calibri" w:eastAsia="宋体" w:cs="Times New Roman"/>
                <w:highlight w:val="none"/>
                <w:lang w:val="en-US" w:eastAsia="zh-Hans"/>
              </w:rPr>
            </w:pPr>
          </w:p>
        </w:tc>
      </w:tr>
      <w:tr w14:paraId="306A9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DF76EAB">
            <w:pPr>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 xml:space="preserve">开户名称： </w:t>
            </w:r>
            <w:r>
              <w:rPr>
                <w:rFonts w:hint="eastAsia" w:ascii="仿宋_GB2312" w:hAnsi="仿宋_GB2312" w:eastAsia="仿宋_GB2312" w:cs="仿宋_GB2312"/>
                <w:highlight w:val="none"/>
                <w:lang w:val="en-US" w:eastAsia="zh-CN"/>
              </w:rPr>
              <w:t>闽华晟建设发展有限公司</w:t>
            </w:r>
          </w:p>
        </w:tc>
      </w:tr>
      <w:tr w14:paraId="23598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C223B6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开户银行：供应商在福建省政府采购网上公开信息系统获取招标文件后，根据其提示自行选择要缴交的投标保证金托管银行。</w:t>
            </w:r>
          </w:p>
        </w:tc>
      </w:tr>
      <w:tr w14:paraId="7BACC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3EA8943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C731F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A4FF20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特别提示</w:t>
            </w:r>
          </w:p>
        </w:tc>
      </w:tr>
      <w:tr w14:paraId="64B37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537782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1、投标人应认真核对账户信息，将投标保证金汇入以上账户，并自行承担因汇错投标保证金而产生的一切后果。</w:t>
            </w:r>
          </w:p>
          <w:p w14:paraId="71F33D1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2、投标人在转账或电汇的凭证上应按照以下格式注明，以便核对：“（项目编号：***）的投标保证金”。</w:t>
            </w:r>
          </w:p>
        </w:tc>
      </w:tr>
    </w:tbl>
    <w:p w14:paraId="294E4601">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附2：采购标的一览表</w:t>
      </w:r>
    </w:p>
    <w:p w14:paraId="03EAC63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p w14:paraId="0AA86BEB">
      <w:pPr>
        <w:jc w:val="left"/>
        <w:rPr>
          <w:rFonts w:hint="eastAsia" w:ascii="仿宋_GB2312" w:hAnsi="仿宋_GB2312" w:eastAsia="仿宋_GB2312" w:cs="仿宋_GB2312"/>
          <w:highlight w:val="none"/>
          <w:lang w:val="en-US" w:eastAsia="zh-Hans"/>
        </w:rPr>
      </w:pPr>
      <w:r>
        <w:rPr>
          <w:rFonts w:hint="eastAsia" w:ascii="仿宋_GB2312" w:hAnsi="仿宋_GB2312" w:eastAsia="仿宋_GB2312" w:cs="仿宋_GB2312"/>
          <w:highlight w:val="none"/>
          <w:lang w:val="en-US" w:eastAsia="zh-Hans"/>
        </w:rPr>
        <w:t xml:space="preserve">采购包预算金额（元）: </w:t>
      </w:r>
      <w:r>
        <w:rPr>
          <w:rFonts w:hint="eastAsia" w:ascii="仿宋_GB2312" w:hAnsi="仿宋_GB2312" w:eastAsia="仿宋_GB2312" w:cs="仿宋_GB2312"/>
          <w:highlight w:val="none"/>
          <w:lang w:val="en-US" w:eastAsia="zh-CN"/>
        </w:rPr>
        <w:t>17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820</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00</w:t>
      </w:r>
      <w:r>
        <w:rPr>
          <w:rFonts w:hint="eastAsia" w:ascii="仿宋_GB2312" w:hAnsi="仿宋_GB2312" w:eastAsia="仿宋_GB2312" w:cs="仿宋_GB2312"/>
          <w:highlight w:val="none"/>
          <w:lang w:val="en-US" w:eastAsia="zh-Hans"/>
        </w:rPr>
        <w:t>0.00</w:t>
      </w:r>
    </w:p>
    <w:p w14:paraId="0ED7CBB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采购包最高限价（元）: </w:t>
      </w:r>
      <w:r>
        <w:rPr>
          <w:rFonts w:hint="eastAsia" w:ascii="仿宋_GB2312" w:hAnsi="仿宋_GB2312" w:eastAsia="仿宋_GB2312" w:cs="仿宋_GB2312"/>
          <w:highlight w:val="none"/>
          <w:lang w:val="en-US" w:eastAsia="zh-CN"/>
        </w:rPr>
        <w:t>17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777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88</w:t>
      </w:r>
      <w:r>
        <w:rPr>
          <w:rFonts w:hint="eastAsia" w:ascii="仿宋_GB2312" w:hAnsi="仿宋_GB2312" w:eastAsia="仿宋_GB2312" w:cs="仿宋_GB2312"/>
          <w:highlight w:val="none"/>
          <w:lang w:val="en-US" w:eastAsia="zh-Hans"/>
        </w:rPr>
        <w:t>0.00</w:t>
      </w:r>
    </w:p>
    <w:p w14:paraId="6DF19B8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5"/>
        <w:gridCol w:w="1155"/>
        <w:gridCol w:w="1164"/>
        <w:gridCol w:w="1581"/>
        <w:gridCol w:w="1155"/>
        <w:gridCol w:w="1156"/>
        <w:gridCol w:w="1156"/>
      </w:tblGrid>
      <w:tr w14:paraId="6C56B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857770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序号</w:t>
            </w:r>
          </w:p>
        </w:tc>
        <w:tc>
          <w:tcPr>
            <w:tcW w:w="1187" w:type="dxa"/>
          </w:tcPr>
          <w:p w14:paraId="3448D63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标的名称</w:t>
            </w:r>
          </w:p>
        </w:tc>
        <w:tc>
          <w:tcPr>
            <w:tcW w:w="1187" w:type="dxa"/>
          </w:tcPr>
          <w:p w14:paraId="13C3B4C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数量</w:t>
            </w:r>
          </w:p>
        </w:tc>
        <w:tc>
          <w:tcPr>
            <w:tcW w:w="1187" w:type="dxa"/>
          </w:tcPr>
          <w:p w14:paraId="4400665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标的金额 （元）</w:t>
            </w:r>
          </w:p>
        </w:tc>
        <w:tc>
          <w:tcPr>
            <w:tcW w:w="1187" w:type="dxa"/>
          </w:tcPr>
          <w:p w14:paraId="3469AD8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计量单位</w:t>
            </w:r>
          </w:p>
        </w:tc>
        <w:tc>
          <w:tcPr>
            <w:tcW w:w="1187" w:type="dxa"/>
          </w:tcPr>
          <w:p w14:paraId="53DDD99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所属行业</w:t>
            </w:r>
          </w:p>
        </w:tc>
        <w:tc>
          <w:tcPr>
            <w:tcW w:w="1187" w:type="dxa"/>
          </w:tcPr>
          <w:p w14:paraId="3AC7496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是否允许进口产品</w:t>
            </w:r>
          </w:p>
        </w:tc>
      </w:tr>
      <w:tr w14:paraId="392BF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7A439E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1187" w:type="dxa"/>
          </w:tcPr>
          <w:p w14:paraId="038CB56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尤溪县无人机空地一体体系建设项目</w:t>
            </w:r>
          </w:p>
        </w:tc>
        <w:tc>
          <w:tcPr>
            <w:tcW w:w="1187" w:type="dxa"/>
          </w:tcPr>
          <w:p w14:paraId="1AB0CA1C">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1187" w:type="dxa"/>
          </w:tcPr>
          <w:p w14:paraId="3D1B3AC6">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CN"/>
              </w:rPr>
              <w:t>17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820</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00</w:t>
            </w:r>
            <w:r>
              <w:rPr>
                <w:rFonts w:hint="eastAsia" w:ascii="仿宋_GB2312" w:hAnsi="仿宋_GB2312" w:eastAsia="仿宋_GB2312" w:cs="仿宋_GB2312"/>
                <w:highlight w:val="none"/>
                <w:lang w:val="en-US" w:eastAsia="zh-Hans"/>
              </w:rPr>
              <w:t>0.00</w:t>
            </w:r>
          </w:p>
        </w:tc>
        <w:tc>
          <w:tcPr>
            <w:tcW w:w="1187" w:type="dxa"/>
          </w:tcPr>
          <w:p w14:paraId="6B57417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年</w:t>
            </w:r>
          </w:p>
        </w:tc>
        <w:tc>
          <w:tcPr>
            <w:tcW w:w="1187" w:type="dxa"/>
          </w:tcPr>
          <w:p w14:paraId="4764FE3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其他未列明行业</w:t>
            </w:r>
          </w:p>
        </w:tc>
        <w:tc>
          <w:tcPr>
            <w:tcW w:w="1187" w:type="dxa"/>
          </w:tcPr>
          <w:p w14:paraId="43E8606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否</w:t>
            </w:r>
          </w:p>
        </w:tc>
      </w:tr>
    </w:tbl>
    <w:p w14:paraId="643642F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p w14:paraId="31330EA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3008"/>
        <w:gridCol w:w="552"/>
        <w:gridCol w:w="552"/>
        <w:gridCol w:w="1581"/>
        <w:gridCol w:w="1370"/>
        <w:gridCol w:w="1033"/>
      </w:tblGrid>
      <w:tr w14:paraId="54F3BB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B2246D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序号</w:t>
            </w:r>
          </w:p>
        </w:tc>
        <w:tc>
          <w:tcPr>
            <w:tcW w:w="3046" w:type="dxa"/>
          </w:tcPr>
          <w:p w14:paraId="44077C2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报价内容</w:t>
            </w:r>
          </w:p>
        </w:tc>
        <w:tc>
          <w:tcPr>
            <w:tcW w:w="554" w:type="dxa"/>
          </w:tcPr>
          <w:p w14:paraId="53A0E5A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计量单位</w:t>
            </w:r>
          </w:p>
        </w:tc>
        <w:tc>
          <w:tcPr>
            <w:tcW w:w="554" w:type="dxa"/>
          </w:tcPr>
          <w:p w14:paraId="09BBFB0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报价单位</w:t>
            </w:r>
          </w:p>
        </w:tc>
        <w:tc>
          <w:tcPr>
            <w:tcW w:w="1516" w:type="dxa"/>
          </w:tcPr>
          <w:p w14:paraId="44199A0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最高限价</w:t>
            </w:r>
          </w:p>
        </w:tc>
        <w:tc>
          <w:tcPr>
            <w:tcW w:w="1384" w:type="dxa"/>
          </w:tcPr>
          <w:p w14:paraId="4505B51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价款形式</w:t>
            </w:r>
          </w:p>
        </w:tc>
        <w:tc>
          <w:tcPr>
            <w:tcW w:w="1038" w:type="dxa"/>
          </w:tcPr>
          <w:p w14:paraId="0D6DCBE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报价说明</w:t>
            </w:r>
          </w:p>
        </w:tc>
      </w:tr>
      <w:tr w14:paraId="72A62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A947B9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3046" w:type="dxa"/>
          </w:tcPr>
          <w:p w14:paraId="09DEF02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尤溪县无人机空地一体体系建设项目</w:t>
            </w:r>
          </w:p>
        </w:tc>
        <w:tc>
          <w:tcPr>
            <w:tcW w:w="554" w:type="dxa"/>
          </w:tcPr>
          <w:p w14:paraId="49C1A23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架次</w:t>
            </w:r>
          </w:p>
        </w:tc>
        <w:tc>
          <w:tcPr>
            <w:tcW w:w="554" w:type="dxa"/>
          </w:tcPr>
          <w:p w14:paraId="16FFF9B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元</w:t>
            </w:r>
          </w:p>
        </w:tc>
        <w:tc>
          <w:tcPr>
            <w:tcW w:w="1516" w:type="dxa"/>
          </w:tcPr>
          <w:p w14:paraId="4F9AAD9F">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CN"/>
              </w:rPr>
              <w:t>17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777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88</w:t>
            </w:r>
            <w:r>
              <w:rPr>
                <w:rFonts w:hint="eastAsia" w:ascii="仿宋_GB2312" w:hAnsi="仿宋_GB2312" w:eastAsia="仿宋_GB2312" w:cs="仿宋_GB2312"/>
                <w:highlight w:val="none"/>
                <w:lang w:val="en-US" w:eastAsia="zh-Hans"/>
              </w:rPr>
              <w:t>0.00</w:t>
            </w:r>
          </w:p>
        </w:tc>
        <w:tc>
          <w:tcPr>
            <w:tcW w:w="1384" w:type="dxa"/>
          </w:tcPr>
          <w:p w14:paraId="46B7A91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总价</w:t>
            </w:r>
          </w:p>
        </w:tc>
        <w:tc>
          <w:tcPr>
            <w:tcW w:w="1038" w:type="dxa"/>
          </w:tcPr>
          <w:p w14:paraId="7888115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投标人的投标总报价超过最高限价的为无效报价。</w:t>
            </w:r>
          </w:p>
        </w:tc>
      </w:tr>
    </w:tbl>
    <w:p w14:paraId="008B8A1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（2）报价明细要求：</w:t>
      </w:r>
    </w:p>
    <w:p w14:paraId="2E1F15D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尤溪县无人机空地一体体系建设项目</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1794"/>
        <w:gridCol w:w="1795"/>
        <w:gridCol w:w="426"/>
        <w:gridCol w:w="426"/>
        <w:gridCol w:w="1581"/>
        <w:gridCol w:w="761"/>
        <w:gridCol w:w="1313"/>
      </w:tblGrid>
      <w:tr w14:paraId="4D916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10FC1C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序号</w:t>
            </w:r>
          </w:p>
        </w:tc>
        <w:tc>
          <w:tcPr>
            <w:tcW w:w="1831" w:type="dxa"/>
          </w:tcPr>
          <w:p w14:paraId="00CB46B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报价明细内容</w:t>
            </w:r>
          </w:p>
        </w:tc>
        <w:tc>
          <w:tcPr>
            <w:tcW w:w="1832" w:type="dxa"/>
          </w:tcPr>
          <w:p w14:paraId="2848BF3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报价要求</w:t>
            </w:r>
          </w:p>
        </w:tc>
        <w:tc>
          <w:tcPr>
            <w:tcW w:w="416" w:type="dxa"/>
          </w:tcPr>
          <w:p w14:paraId="5A4DDF0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计量单位</w:t>
            </w:r>
          </w:p>
        </w:tc>
        <w:tc>
          <w:tcPr>
            <w:tcW w:w="416" w:type="dxa"/>
          </w:tcPr>
          <w:p w14:paraId="17A06F1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报价单位</w:t>
            </w:r>
          </w:p>
        </w:tc>
        <w:tc>
          <w:tcPr>
            <w:tcW w:w="1516" w:type="dxa"/>
          </w:tcPr>
          <w:p w14:paraId="1062490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最高限价</w:t>
            </w:r>
          </w:p>
        </w:tc>
        <w:tc>
          <w:tcPr>
            <w:tcW w:w="770" w:type="dxa"/>
          </w:tcPr>
          <w:p w14:paraId="58A8534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价款形式</w:t>
            </w:r>
          </w:p>
        </w:tc>
        <w:tc>
          <w:tcPr>
            <w:tcW w:w="1325" w:type="dxa"/>
          </w:tcPr>
          <w:p w14:paraId="79E1B2D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报价说明</w:t>
            </w:r>
          </w:p>
        </w:tc>
      </w:tr>
      <w:tr w14:paraId="37523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773E846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1831" w:type="dxa"/>
          </w:tcPr>
          <w:p w14:paraId="699E889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尤溪县无人机空地一体体系建设项目</w:t>
            </w:r>
          </w:p>
        </w:tc>
        <w:tc>
          <w:tcPr>
            <w:tcW w:w="1832" w:type="dxa"/>
            <w:vAlign w:val="top"/>
          </w:tcPr>
          <w:p w14:paraId="5043D568">
            <w:pPr>
              <w:jc w:val="left"/>
              <w:rPr>
                <w:rFonts w:hint="eastAsia" w:ascii="Calibri" w:hAnsi="Calibri" w:eastAsia="宋体" w:cs="Times New Roman"/>
                <w:highlight w:val="none"/>
                <w:lang w:val="en-US" w:eastAsia="zh-CN"/>
              </w:rPr>
            </w:pPr>
            <w:r>
              <w:rPr>
                <w:rFonts w:hint="eastAsia" w:ascii="仿宋_GB2312" w:hAnsi="仿宋_GB2312" w:eastAsia="仿宋_GB2312" w:cs="仿宋_GB2312"/>
                <w:highlight w:val="none"/>
                <w:lang w:val="en-US" w:eastAsia="zh-Hans"/>
              </w:rPr>
              <w:t>按招标文件要求报价</w:t>
            </w:r>
          </w:p>
        </w:tc>
        <w:tc>
          <w:tcPr>
            <w:tcW w:w="416" w:type="dxa"/>
            <w:vAlign w:val="top"/>
          </w:tcPr>
          <w:p w14:paraId="4921980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架次</w:t>
            </w:r>
          </w:p>
        </w:tc>
        <w:tc>
          <w:tcPr>
            <w:tcW w:w="416" w:type="dxa"/>
            <w:vAlign w:val="top"/>
          </w:tcPr>
          <w:p w14:paraId="6FE6EA5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元</w:t>
            </w:r>
          </w:p>
        </w:tc>
        <w:tc>
          <w:tcPr>
            <w:tcW w:w="1516" w:type="dxa"/>
          </w:tcPr>
          <w:p w14:paraId="1BB887E7">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CN"/>
              </w:rPr>
              <w:t>17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777</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88</w:t>
            </w:r>
            <w:r>
              <w:rPr>
                <w:rFonts w:hint="eastAsia" w:ascii="仿宋_GB2312" w:hAnsi="仿宋_GB2312" w:eastAsia="仿宋_GB2312" w:cs="仿宋_GB2312"/>
                <w:highlight w:val="none"/>
                <w:lang w:val="en-US" w:eastAsia="zh-Hans"/>
              </w:rPr>
              <w:t>0.00</w:t>
            </w:r>
          </w:p>
        </w:tc>
        <w:tc>
          <w:tcPr>
            <w:tcW w:w="770" w:type="dxa"/>
          </w:tcPr>
          <w:p w14:paraId="44A2A67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总价</w:t>
            </w:r>
          </w:p>
        </w:tc>
        <w:tc>
          <w:tcPr>
            <w:tcW w:w="1325" w:type="dxa"/>
            <w:shd w:val="clear" w:color="auto" w:fill="auto"/>
            <w:vAlign w:val="top"/>
          </w:tcPr>
          <w:p w14:paraId="3EBE41FA">
            <w:pPr>
              <w:jc w:val="left"/>
              <w:rPr>
                <w:rFonts w:hint="eastAsia" w:ascii="Calibri" w:hAnsi="Calibri" w:eastAsia="宋体" w:cs="Times New Roman"/>
                <w:highlight w:val="none"/>
                <w:lang w:val="en-US" w:eastAsia="zh-CN"/>
              </w:rPr>
            </w:pPr>
            <w:r>
              <w:rPr>
                <w:rFonts w:hint="eastAsia" w:ascii="仿宋_GB2312" w:hAnsi="仿宋_GB2312" w:eastAsia="仿宋_GB2312" w:cs="仿宋_GB2312"/>
                <w:highlight w:val="none"/>
                <w:lang w:val="en-US" w:eastAsia="zh-Hans"/>
              </w:rPr>
              <w:t>因系统设置原因，本电子交易系统录入数量</w:t>
            </w:r>
            <w:r>
              <w:rPr>
                <w:rFonts w:hint="eastAsia" w:ascii="仿宋_GB2312" w:hAnsi="仿宋_GB2312" w:eastAsia="仿宋_GB2312" w:cs="仿宋_GB2312"/>
                <w:highlight w:val="none"/>
                <w:lang w:val="en-US" w:eastAsia="zh-CN"/>
              </w:rPr>
              <w:t>63720</w:t>
            </w:r>
            <w:r>
              <w:rPr>
                <w:rFonts w:hint="eastAsia" w:ascii="仿宋_GB2312" w:hAnsi="仿宋_GB2312" w:eastAsia="仿宋_GB2312" w:cs="仿宋_GB2312"/>
                <w:highlight w:val="none"/>
                <w:lang w:val="en-US" w:eastAsia="zh-Hans"/>
              </w:rPr>
              <w:t>架次，仅作为项目最高总价限价计算基准（该数据组成要素：</w:t>
            </w:r>
            <w:r>
              <w:rPr>
                <w:rFonts w:hint="eastAsia" w:ascii="仿宋_GB2312" w:hAnsi="仿宋_GB2312" w:eastAsia="仿宋_GB2312" w:cs="仿宋_GB2312"/>
                <w:highlight w:val="none"/>
                <w:lang w:val="en-US" w:eastAsia="zh-CN"/>
              </w:rPr>
              <w:t>18</w:t>
            </w:r>
            <w:r>
              <w:rPr>
                <w:rFonts w:hint="eastAsia" w:ascii="仿宋_GB2312" w:hAnsi="仿宋_GB2312" w:eastAsia="仿宋_GB2312" w:cs="仿宋_GB2312"/>
                <w:highlight w:val="none"/>
                <w:lang w:val="en-US" w:eastAsia="zh-Hans"/>
              </w:rPr>
              <w:t>套×1180架次/套/年×3年），不属于采购人固定采购数量。 本项目最高限制单价</w:t>
            </w:r>
            <w:r>
              <w:rPr>
                <w:rFonts w:hint="eastAsia" w:ascii="仿宋_GB2312" w:hAnsi="仿宋_GB2312" w:eastAsia="仿宋_GB2312" w:cs="仿宋_GB2312"/>
                <w:highlight w:val="none"/>
                <w:lang w:val="en-US" w:eastAsia="zh-CN"/>
              </w:rPr>
              <w:t>279</w:t>
            </w:r>
            <w:r>
              <w:rPr>
                <w:rFonts w:hint="eastAsia" w:ascii="仿宋_GB2312" w:hAnsi="仿宋_GB2312" w:eastAsia="仿宋_GB2312" w:cs="仿宋_GB2312"/>
                <w:highlight w:val="none"/>
                <w:lang w:val="en-US" w:eastAsia="zh-Hans"/>
              </w:rPr>
              <w:t>元/架次，采用按实际有效飞行架次据实结算；具体详见招标文件第五章 招标内容及要求 一、项目概况）。</w:t>
            </w:r>
          </w:p>
        </w:tc>
      </w:tr>
    </w:tbl>
    <w:p w14:paraId="1A738D9F">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page"/>
      </w:r>
    </w:p>
    <w:p w14:paraId="3F357E7B">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第二章 投标人须知前附表</w:t>
      </w:r>
    </w:p>
    <w:p w14:paraId="4FBF069F">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7E13E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33C7672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特别提示：本表与招标文件对应章节的内容若不一致，以本表为准。</w:t>
            </w:r>
          </w:p>
        </w:tc>
      </w:tr>
      <w:tr w14:paraId="59D37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02AE34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序号</w:t>
            </w:r>
          </w:p>
        </w:tc>
        <w:tc>
          <w:tcPr>
            <w:tcW w:w="2769" w:type="dxa"/>
          </w:tcPr>
          <w:p w14:paraId="1067E30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招标文件</w:t>
            </w:r>
          </w:p>
          <w:p w14:paraId="7DD0D4E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（第三章）</w:t>
            </w:r>
          </w:p>
        </w:tc>
        <w:tc>
          <w:tcPr>
            <w:tcW w:w="2769" w:type="dxa"/>
          </w:tcPr>
          <w:p w14:paraId="0B92507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编列内容</w:t>
            </w:r>
          </w:p>
        </w:tc>
      </w:tr>
      <w:tr w14:paraId="65F9A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573A0F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2769" w:type="dxa"/>
          </w:tcPr>
          <w:p w14:paraId="69F0F93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6.1</w:t>
            </w:r>
          </w:p>
        </w:tc>
        <w:tc>
          <w:tcPr>
            <w:tcW w:w="2769" w:type="dxa"/>
          </w:tcPr>
          <w:p w14:paraId="7DB394A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是否组织现场考察或召开开标前答疑会：</w:t>
            </w:r>
          </w:p>
          <w:p w14:paraId="6F3EF6D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采购包1：不组织</w:t>
            </w:r>
          </w:p>
        </w:tc>
      </w:tr>
      <w:tr w14:paraId="66774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5FB3BB5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p>
        </w:tc>
        <w:tc>
          <w:tcPr>
            <w:tcW w:w="2769" w:type="dxa"/>
          </w:tcPr>
          <w:p w14:paraId="0ECE7A7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10.4</w:t>
            </w:r>
          </w:p>
        </w:tc>
        <w:tc>
          <w:tcPr>
            <w:tcW w:w="2769" w:type="dxa"/>
          </w:tcPr>
          <w:p w14:paraId="1391D76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投标文件的份数：</w:t>
            </w:r>
          </w:p>
          <w:p w14:paraId="0303309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（1）可读介质（光盘或U盘） 0 份：投标人应将其上传至福建省政府采购网上公开信息系统的电子投标文件在该可读介质中另存 1 份。</w:t>
            </w:r>
          </w:p>
          <w:p w14:paraId="6AFF844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（2）电子投标文件：详见投标人须知前附表2《关于电子招标投标活动的专门规定》。</w:t>
            </w:r>
          </w:p>
        </w:tc>
      </w:tr>
      <w:tr w14:paraId="3160D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62AC6A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w:t>
            </w:r>
          </w:p>
        </w:tc>
        <w:tc>
          <w:tcPr>
            <w:tcW w:w="2769" w:type="dxa"/>
          </w:tcPr>
          <w:p w14:paraId="60544D1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10.7-（1）</w:t>
            </w:r>
          </w:p>
        </w:tc>
        <w:tc>
          <w:tcPr>
            <w:tcW w:w="2769" w:type="dxa"/>
          </w:tcPr>
          <w:p w14:paraId="314B35B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是否允许中标人将本项目的非主体、非关键性工作进行分包：</w:t>
            </w:r>
          </w:p>
          <w:p w14:paraId="65A6CEA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采购包1：不允许合同分包；</w:t>
            </w:r>
          </w:p>
        </w:tc>
      </w:tr>
      <w:tr w14:paraId="379D9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AE5ABC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w:t>
            </w:r>
          </w:p>
        </w:tc>
        <w:tc>
          <w:tcPr>
            <w:tcW w:w="2769" w:type="dxa"/>
          </w:tcPr>
          <w:p w14:paraId="7BA6207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10.8-（1）</w:t>
            </w:r>
          </w:p>
        </w:tc>
        <w:tc>
          <w:tcPr>
            <w:tcW w:w="2769" w:type="dxa"/>
          </w:tcPr>
          <w:p w14:paraId="2D815D6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投标有效期：投标截止时间起 90 个日历日。</w:t>
            </w:r>
          </w:p>
        </w:tc>
      </w:tr>
      <w:tr w14:paraId="3B584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448B5E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w:t>
            </w:r>
          </w:p>
        </w:tc>
        <w:tc>
          <w:tcPr>
            <w:tcW w:w="2769" w:type="dxa"/>
          </w:tcPr>
          <w:p w14:paraId="7A0201C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12.1</w:t>
            </w:r>
          </w:p>
        </w:tc>
        <w:tc>
          <w:tcPr>
            <w:tcW w:w="2769" w:type="dxa"/>
          </w:tcPr>
          <w:p w14:paraId="6C844D5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确定中标候选人名单：</w:t>
            </w:r>
          </w:p>
          <w:p w14:paraId="0DD5973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采购包1：1名</w:t>
            </w:r>
          </w:p>
        </w:tc>
      </w:tr>
      <w:tr w14:paraId="337FA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63FB4E8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w:t>
            </w:r>
          </w:p>
        </w:tc>
        <w:tc>
          <w:tcPr>
            <w:tcW w:w="2769" w:type="dxa"/>
          </w:tcPr>
          <w:p w14:paraId="22A6F45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12.2</w:t>
            </w:r>
          </w:p>
        </w:tc>
        <w:tc>
          <w:tcPr>
            <w:tcW w:w="2769" w:type="dxa"/>
          </w:tcPr>
          <w:p w14:paraId="3BA40A2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本项目中标人的确定（以采购包为单位）：</w:t>
            </w:r>
          </w:p>
          <w:p w14:paraId="570DF60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 采购人应在政府采购招投标管理办法规定的时限内确定中标人。</w:t>
            </w:r>
          </w:p>
          <w:p w14:paraId="78613F6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（2）若出现中标候选人并列情形，则按照下列方式确定中标人：</w:t>
            </w:r>
          </w:p>
          <w:p w14:paraId="3C066C1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①招标文件规定的方式：</w:t>
            </w:r>
          </w:p>
          <w:p w14:paraId="641BE2C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w:t>
            </w:r>
          </w:p>
          <w:p w14:paraId="4D7FD52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②若本款第①点规定方式为“无”，则按照下列方式确定：</w:t>
            </w:r>
          </w:p>
          <w:p w14:paraId="6BD52D3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w:t>
            </w:r>
          </w:p>
          <w:p w14:paraId="59C3785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③若本款第①、②点规定方式均为“无”，则按照下列方式确定：随机抽取。</w:t>
            </w:r>
          </w:p>
          <w:p w14:paraId="11FD85C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（3）本项目确定的中标人家数：</w:t>
            </w:r>
          </w:p>
          <w:p w14:paraId="13CA881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采购包1：1名</w:t>
            </w:r>
          </w:p>
        </w:tc>
      </w:tr>
      <w:tr w14:paraId="6F492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753C45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w:t>
            </w:r>
          </w:p>
        </w:tc>
        <w:tc>
          <w:tcPr>
            <w:tcW w:w="2769" w:type="dxa"/>
          </w:tcPr>
          <w:p w14:paraId="4664D1F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13.2</w:t>
            </w:r>
          </w:p>
        </w:tc>
        <w:tc>
          <w:tcPr>
            <w:tcW w:w="2769" w:type="dxa"/>
          </w:tcPr>
          <w:p w14:paraId="6C7DB7D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合同签订时限： 自中标通知书发出之日起30个日历日内。</w:t>
            </w:r>
          </w:p>
        </w:tc>
      </w:tr>
      <w:tr w14:paraId="773CD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85788B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w:t>
            </w:r>
          </w:p>
        </w:tc>
        <w:tc>
          <w:tcPr>
            <w:tcW w:w="2769" w:type="dxa"/>
          </w:tcPr>
          <w:p w14:paraId="1A25F90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15.1-（2）</w:t>
            </w:r>
          </w:p>
        </w:tc>
        <w:tc>
          <w:tcPr>
            <w:tcW w:w="2769" w:type="dxa"/>
          </w:tcPr>
          <w:p w14:paraId="0763170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质疑函原件应采用下列方式提交：书面形式。</w:t>
            </w:r>
          </w:p>
        </w:tc>
      </w:tr>
      <w:tr w14:paraId="2022A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5767E4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w:t>
            </w:r>
          </w:p>
        </w:tc>
        <w:tc>
          <w:tcPr>
            <w:tcW w:w="2769" w:type="dxa"/>
          </w:tcPr>
          <w:p w14:paraId="224AAF5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15.4</w:t>
            </w:r>
          </w:p>
        </w:tc>
        <w:tc>
          <w:tcPr>
            <w:tcW w:w="2769" w:type="dxa"/>
          </w:tcPr>
          <w:p w14:paraId="41CBE40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招标文件的质疑</w:t>
            </w:r>
          </w:p>
          <w:p w14:paraId="41E8D11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（1）潜在投标人可在质疑时效期间内对招标文件以书面形式提出质疑。</w:t>
            </w:r>
          </w:p>
          <w:p w14:paraId="5A4C6F5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（2）质疑时效期间：应在依法获取招标文件之日起7个工作日内向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提出，依法获取招标文件的时间以福建省政府采购网上公开信息系统记载的为准。</w:t>
            </w:r>
          </w:p>
          <w:p w14:paraId="1C8B9AE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※除上述规定外，对招标文件提出的质疑还应符合招标文件第三章第15.1条的有关规定。</w:t>
            </w:r>
          </w:p>
        </w:tc>
      </w:tr>
      <w:tr w14:paraId="403BCD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2F85F84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w:t>
            </w:r>
          </w:p>
        </w:tc>
        <w:tc>
          <w:tcPr>
            <w:tcW w:w="2769" w:type="dxa"/>
          </w:tcPr>
          <w:p w14:paraId="3C68B9A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16.1</w:t>
            </w:r>
          </w:p>
        </w:tc>
        <w:tc>
          <w:tcPr>
            <w:tcW w:w="2769" w:type="dxa"/>
          </w:tcPr>
          <w:p w14:paraId="143C0F0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监督管理部门： 尤溪县财政局采购监督管理办公室 （仅限依法进行政府采购的货物或服务类项目）。</w:t>
            </w:r>
          </w:p>
        </w:tc>
      </w:tr>
      <w:tr w14:paraId="7A9D3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4C10A4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w:t>
            </w:r>
          </w:p>
        </w:tc>
        <w:tc>
          <w:tcPr>
            <w:tcW w:w="2769" w:type="dxa"/>
          </w:tcPr>
          <w:p w14:paraId="6D0F20D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18.1</w:t>
            </w:r>
          </w:p>
        </w:tc>
        <w:tc>
          <w:tcPr>
            <w:tcW w:w="2769" w:type="dxa"/>
          </w:tcPr>
          <w:p w14:paraId="3FCB022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财政部和福建省财政厅指定的政府采购信息发布媒体（以下简称：“指定媒体”）：</w:t>
            </w:r>
          </w:p>
          <w:p w14:paraId="073955B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（1）中国政府采购网，网址www.ccgp.gov.cn。</w:t>
            </w:r>
          </w:p>
          <w:p w14:paraId="47542C1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（2）中国政府采购网福建分网（福建省政府采购网），网址zfcg.czt.fujian.gov.cn。</w:t>
            </w:r>
          </w:p>
          <w:p w14:paraId="10ACFEC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※若出现上述指定媒体信息不一致情形，应以中国政府采购网福建分网（福建省政府采购网）发布的为准。</w:t>
            </w:r>
          </w:p>
        </w:tc>
      </w:tr>
      <w:tr w14:paraId="1CBFF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9B1442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w:t>
            </w:r>
          </w:p>
        </w:tc>
        <w:tc>
          <w:tcPr>
            <w:tcW w:w="2769" w:type="dxa"/>
          </w:tcPr>
          <w:p w14:paraId="22B6E5F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19</w:t>
            </w:r>
          </w:p>
        </w:tc>
        <w:tc>
          <w:tcPr>
            <w:tcW w:w="2769" w:type="dxa"/>
          </w:tcPr>
          <w:p w14:paraId="52051F3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其他事项：</w:t>
            </w:r>
          </w:p>
          <w:p w14:paraId="44C63B3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1</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本项目代理服务费：</w:t>
            </w:r>
          </w:p>
          <w:p w14:paraId="17F9BFE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本项目收取代理服务费</w:t>
            </w:r>
          </w:p>
          <w:p w14:paraId="18BA5AA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代理服务费用收取对象：中标/成交供应商</w:t>
            </w:r>
          </w:p>
          <w:p w14:paraId="06DDD18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代理服务费收费标准：A、招标代理服务费收费标准按差额定率累进法计取,本项目按包干6</w:t>
            </w:r>
            <w:r>
              <w:rPr>
                <w:rFonts w:hint="eastAsia" w:ascii="仿宋_GB2312" w:hAnsi="仿宋_GB2312" w:eastAsia="仿宋_GB2312" w:cs="仿宋_GB2312"/>
                <w:highlight w:val="none"/>
                <w:lang w:val="en-US" w:eastAsia="zh-CN"/>
              </w:rPr>
              <w:t>8</w:t>
            </w:r>
            <w:r>
              <w:rPr>
                <w:rFonts w:hint="eastAsia" w:ascii="仿宋_GB2312" w:hAnsi="仿宋_GB2312" w:eastAsia="仿宋_GB2312" w:cs="仿宋_GB2312"/>
                <w:highlight w:val="none"/>
                <w:lang w:val="en-US" w:eastAsia="zh-Hans"/>
              </w:rPr>
              <w:t>000元计取。中标人应当在领取中标通知书前，向招标代理机构缴纳招标服务费，缴后不退。B、缴纳招标服务费账号：开户名：</w:t>
            </w:r>
            <w:r>
              <w:rPr>
                <w:rFonts w:hint="eastAsia" w:ascii="仿宋_GB2312" w:hAnsi="仿宋_GB2312" w:eastAsia="仿宋_GB2312" w:cs="仿宋_GB2312"/>
                <w:highlight w:val="none"/>
                <w:lang w:val="en-US" w:eastAsia="zh-CN"/>
              </w:rPr>
              <w:t>闽华晟建设发展有限公司三明分公司</w:t>
            </w:r>
            <w:r>
              <w:rPr>
                <w:rFonts w:hint="eastAsia" w:ascii="仿宋_GB2312" w:hAnsi="仿宋_GB2312" w:eastAsia="仿宋_GB2312" w:cs="仿宋_GB2312"/>
                <w:highlight w:val="none"/>
                <w:lang w:val="en-US" w:eastAsia="zh-Hans"/>
              </w:rPr>
              <w:t>；开户行：</w:t>
            </w:r>
            <w:r>
              <w:rPr>
                <w:rFonts w:hint="eastAsia" w:ascii="仿宋_GB2312" w:hAnsi="仿宋_GB2312" w:eastAsia="仿宋_GB2312" w:cs="仿宋_GB2312"/>
                <w:highlight w:val="none"/>
                <w:lang w:val="en-US" w:eastAsia="zh-CN"/>
              </w:rPr>
              <w:t>中国建设银行股份有限公司沙县支行</w:t>
            </w:r>
            <w:r>
              <w:rPr>
                <w:rFonts w:hint="eastAsia" w:ascii="仿宋_GB2312" w:hAnsi="仿宋_GB2312" w:eastAsia="仿宋_GB2312" w:cs="仿宋_GB2312"/>
                <w:highlight w:val="none"/>
                <w:lang w:val="en-US" w:eastAsia="zh-Hans"/>
              </w:rPr>
              <w:t>；帐号：</w:t>
            </w:r>
            <w:r>
              <w:rPr>
                <w:rFonts w:hint="eastAsia" w:ascii="仿宋_GB2312" w:hAnsi="仿宋_GB2312" w:eastAsia="仿宋_GB2312" w:cs="仿宋_GB2312"/>
                <w:highlight w:val="none"/>
                <w:lang w:val="en-US" w:eastAsia="zh-CN"/>
              </w:rPr>
              <w:t>35050164770700000842</w:t>
            </w:r>
            <w:r>
              <w:rPr>
                <w:rFonts w:hint="eastAsia" w:ascii="仿宋_GB2312" w:hAnsi="仿宋_GB2312" w:eastAsia="仿宋_GB2312" w:cs="仿宋_GB2312"/>
                <w:highlight w:val="none"/>
                <w:lang w:val="en-US" w:eastAsia="zh-Hans"/>
              </w:rPr>
              <w:t>。</w:t>
            </w:r>
          </w:p>
          <w:p w14:paraId="56B3625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2</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其他：</w:t>
            </w:r>
          </w:p>
          <w:p w14:paraId="2AEC259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1、本项目允许由不超过2家供应商组成联合体进行投标。 2、若为联合体投标的只能确定由其中一方的条件参与商务部分的评标。（如出现多方的条件参与评标，则仅认定联合体牵头方的条件参与投标）。</w:t>
            </w:r>
          </w:p>
        </w:tc>
      </w:tr>
      <w:tr w14:paraId="75869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7FB8A2F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w:t>
            </w:r>
          </w:p>
        </w:tc>
        <w:tc>
          <w:tcPr>
            <w:tcW w:w="2769" w:type="dxa"/>
          </w:tcPr>
          <w:p w14:paraId="63C9D90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后有投标人须知前附表2，请勿遗漏。</w:t>
            </w:r>
          </w:p>
        </w:tc>
      </w:tr>
    </w:tbl>
    <w:p w14:paraId="3E5143C2">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D7E3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45CF01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关于电子招标投标活动的专门规定</w:t>
            </w:r>
          </w:p>
        </w:tc>
      </w:tr>
      <w:tr w14:paraId="6CBE0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B30E0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序号</w:t>
            </w:r>
          </w:p>
        </w:tc>
        <w:tc>
          <w:tcPr>
            <w:tcW w:w="4153" w:type="dxa"/>
          </w:tcPr>
          <w:p w14:paraId="06C3AF7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编列内容</w:t>
            </w:r>
          </w:p>
        </w:tc>
      </w:tr>
      <w:tr w14:paraId="4CE21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79717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4153" w:type="dxa"/>
          </w:tcPr>
          <w:p w14:paraId="4C1B0AE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（1）电子招标投标活动的专门规定适用本项目电子招标投标活动。</w:t>
            </w:r>
          </w:p>
          <w:p w14:paraId="1DF127D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（2）将招标文件</w:t>
            </w:r>
          </w:p>
          <w:p w14:paraId="0AC883D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 的内容修正为下列内容：</w:t>
            </w:r>
          </w:p>
          <w:p w14:paraId="680F2AA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 后适用本项目的电子招标投标活动。</w:t>
            </w:r>
          </w:p>
          <w:p w14:paraId="2309A5E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（3）将下列内容增列为招标文件的组成部分（以下简称：“增列内容”）适用本项目的电子招标投标活动，若增列内容与招标文件其他章节内容有冲突，应以增列内容为准：</w:t>
            </w:r>
          </w:p>
          <w:p w14:paraId="5305EDD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①电子招标投标活动的具体操作流程以福建省政府采购网上公开信息系统设定的为准。</w:t>
            </w:r>
          </w:p>
          <w:p w14:paraId="1D86F7C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②关于电子投标文件：</w:t>
            </w:r>
          </w:p>
          <w:p w14:paraId="218CBE2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a.投标人应按照福建省政府采购网上公开信息系统设定的评审节点编制电子投标文件，否则资格审查小组、评标委员会将按照不利于投标人的内容进行认定。</w:t>
            </w:r>
          </w:p>
          <w:p w14:paraId="12AF7DF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5531E21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③关于证明材料或资料：</w:t>
            </w:r>
          </w:p>
          <w:p w14:paraId="7FE82C7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67C9017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b.若投标人提供注明“复印件无效”或“复印无效”的证明材料或资料，应结合上文a条款进行判定，若招标文件未要求投标人提供原件，投标人提供原件，复印件（含扫描件）均视为满足招标文件要求。</w:t>
            </w:r>
          </w:p>
          <w:p w14:paraId="7ECC56D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④关于“全称”、“投标人代表签字”及“加盖单位公章”：</w:t>
            </w:r>
          </w:p>
          <w:p w14:paraId="6AB471A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a.在电子投标文件中，涉及“全称”和“投标人代表签字”的内容可使用打字录入方式完成。</w:t>
            </w:r>
          </w:p>
          <w:p w14:paraId="48CF9B8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b.在电子投标文件中，涉及“加盖单位公章”的内容应使用投标人的CA证书完成，否则投标无效。</w:t>
            </w:r>
          </w:p>
          <w:p w14:paraId="726075D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c.在电子投标文件中，若投标人按照本增列内容第④点第b项规定加盖其单位公章，则出现无全称、或投标人代表未签字等情形，不视为投标无效。</w:t>
            </w:r>
          </w:p>
          <w:p w14:paraId="4C4C3F0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⑤关于投标人的CA证书：</w:t>
            </w:r>
          </w:p>
          <w:p w14:paraId="377BC12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a.投标人的CA证书应在系统规定时间内使用CA证书进行电子投标文件的解密操作，逾期未解密的视为放弃投标。</w:t>
            </w:r>
          </w:p>
          <w:p w14:paraId="05E195C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b.投标人的CA证书可采用信封（包括但不限于：信封、档案袋、文件袋等）作为外包装进行单独包装。外包装密封、不密封皆可。</w:t>
            </w:r>
          </w:p>
          <w:p w14:paraId="571BFCB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c.投标人的CA证书或外包装应标记“项目名称、项目编号、投标人的全称”等内容，以方便识别、使用。</w:t>
            </w:r>
          </w:p>
          <w:p w14:paraId="5DEC483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d.投标人的CA证书应能正常、有效使用，否则产生不利后果由投标人承担责任。</w:t>
            </w:r>
          </w:p>
          <w:p w14:paraId="30750D0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⑥关于投标截止时间过后</w:t>
            </w:r>
          </w:p>
          <w:p w14:paraId="2CAFF6F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a.未按招标文件规定提交投标保证金的，其投标将按无效投标处理。</w:t>
            </w:r>
          </w:p>
          <w:p w14:paraId="3E69557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b.有下列情形之一的，其投标无效,其保证金不予退还或通过投标保函进行索赔：</w:t>
            </w:r>
          </w:p>
          <w:p w14:paraId="7980FCD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b1不同投标人的电子投标文件具有相同内部识别码；</w:t>
            </w:r>
          </w:p>
          <w:p w14:paraId="4CAB0F9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b2不同投标人的投标保证金从同一单位或个人的账户转出；</w:t>
            </w:r>
          </w:p>
          <w:p w14:paraId="5315047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b3投标人的投标保证金同一采购包下有其他投标人提交的投标保证金；</w:t>
            </w:r>
          </w:p>
          <w:p w14:paraId="06D33E8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b4不同投标人存在串通投标的其他情形。</w:t>
            </w:r>
          </w:p>
          <w:p w14:paraId="125933F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⑦接受联合体投标且投标人为联合体的，投标人应由“联合体牵头方”完成福建省政府采购网上公开信息系统设定的具体操作流程（包括但不限于：招标文件获取、提交投标保证金、编制电子投标文件等）。</w:t>
            </w:r>
          </w:p>
          <w:p w14:paraId="33D575D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⑧其他：</w:t>
            </w:r>
          </w:p>
          <w:p w14:paraId="2A39CFD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通过远程参与开标流程的投标人，投标人可远程线上解密（相关操作手册可查看福建省政府采购网首页操作指南），现场参与开标流程的供应商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响应文件进行远程解密、远程签章。c.投标人应确保自身设施、设备、网络环境状况良好，在操作过程中因供应商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响应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远程解密环节的解密时限规定为30分钟，远程签章环节的签章时限规定为30分钟，请投标人务必密切关注实时开标流程，并根据流程在系统内按时操作，否则产生的后果由投标人自行承担。</w:t>
            </w:r>
          </w:p>
        </w:tc>
      </w:tr>
    </w:tbl>
    <w:p w14:paraId="1A6E8553">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page"/>
      </w:r>
    </w:p>
    <w:p w14:paraId="6851157D">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第三章 投标人须知</w:t>
      </w:r>
    </w:p>
    <w:p w14:paraId="263D3777">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一、总则</w:t>
      </w:r>
    </w:p>
    <w:p w14:paraId="4895C71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1、适用范围</w:t>
      </w:r>
    </w:p>
    <w:p w14:paraId="577B2AC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1.1适用于招标文件载明项目的政府采购活动（以下简称：“本次采购活动”）。</w:t>
      </w:r>
    </w:p>
    <w:p w14:paraId="5435456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2、定义</w:t>
      </w:r>
    </w:p>
    <w:p w14:paraId="7700730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2.1“采购标的”指招标文件载明的需要采购的货物或服务。</w:t>
      </w:r>
    </w:p>
    <w:p w14:paraId="32E9E2A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2.2“潜在投标人”指按照招标文件第一章第7条规定获取招标文件且有意向参加本项目投标的供应商。</w:t>
      </w:r>
    </w:p>
    <w:p w14:paraId="631D4B4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2.3“投标人”指按照招标文件第一章第7条规定获取招标文件并参加本项目投标的供应商。</w:t>
      </w:r>
    </w:p>
    <w:p w14:paraId="1C12470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2.4“单位负责人”指单位法定代表人或法律、法规规定代表单位行使职权的主要负责人。</w:t>
      </w:r>
    </w:p>
    <w:p w14:paraId="6FC0BA4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2.5“投标人代表”指投标人的单位负责人或“单位负责人授权书”中载明的接受授权方。</w:t>
      </w:r>
    </w:p>
    <w:p w14:paraId="0A41091B">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二、投标人</w:t>
      </w:r>
    </w:p>
    <w:p w14:paraId="1831718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3、合格投标人</w:t>
      </w:r>
    </w:p>
    <w:p w14:paraId="555E897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3.1一般规定</w:t>
      </w:r>
    </w:p>
    <w:p w14:paraId="55E5F7D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7F1694C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投标人对提供福建省政府采购供应商资格承诺函及所承诺事项的真实性、合法性及有效性负责，并已知晓所提供资格承诺函内容不实的，可能涉嫌《中华人民共和国政府采购法》第七十七条第一款第</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一</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20DA88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（2）投标人的资格要求：详见招标文件第一章。</w:t>
      </w:r>
    </w:p>
    <w:p w14:paraId="2A468CA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3.2若本项目接受联合体投标且投标人为联合体，则联合体各方应遵守本章第3.1条规定，同时还应遵守下列规定：</w:t>
      </w:r>
    </w:p>
    <w:p w14:paraId="01E8899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（1）联合体各方应提交联合体协议，联合体协议应符合招标文件规定。</w:t>
      </w:r>
    </w:p>
    <w:p w14:paraId="63B794E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（2）联合体各方不得再单独参加或与其他供应商另外组成联合体参加同一合同项下的投标。</w:t>
      </w:r>
    </w:p>
    <w:p w14:paraId="1B5AC0B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（3）联合体各方应共同与采购人签订政府采购合同，就政府采购合同约定的事项对采购人承担连带责任。</w:t>
      </w:r>
    </w:p>
    <w:p w14:paraId="2EEA395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61F3D6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（5）联合体一方放弃中标的，视为联合体整体放弃中标，联合体各方承担连带责任。</w:t>
      </w:r>
    </w:p>
    <w:p w14:paraId="5F65CF6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（6）如本项目不接受联合体投标而投标人为联合体的，或者本项目接受联合体投标但投标人组成的联合体不符合本章第3.2条规定的，投标无效。</w:t>
      </w:r>
    </w:p>
    <w:p w14:paraId="7A47990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4、投标费用</w:t>
      </w:r>
    </w:p>
    <w:p w14:paraId="0090A22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4.1除招标文件另有规定外，投标人应自行承担其参加本项目投标所涉及的一切费用。</w:t>
      </w:r>
    </w:p>
    <w:p w14:paraId="66F33F10">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三、招标</w:t>
      </w:r>
    </w:p>
    <w:p w14:paraId="558CCD2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5、招标文件</w:t>
      </w:r>
    </w:p>
    <w:p w14:paraId="13A0ADE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5.1招标文件由下述部分组成：</w:t>
      </w:r>
    </w:p>
    <w:p w14:paraId="45E58E2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（1）投标邀请</w:t>
      </w:r>
    </w:p>
    <w:p w14:paraId="7522CC5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（2）投标人须知前附表（表1、2）</w:t>
      </w:r>
    </w:p>
    <w:p w14:paraId="07FB1EA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（3）投标人须知</w:t>
      </w:r>
    </w:p>
    <w:p w14:paraId="7616061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（4）资格审查与评标</w:t>
      </w:r>
    </w:p>
    <w:p w14:paraId="286F641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（5）招标内容及要求</w:t>
      </w:r>
    </w:p>
    <w:p w14:paraId="6A322D7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（6）政府采购合同（参考文本）</w:t>
      </w:r>
    </w:p>
    <w:p w14:paraId="44FFF27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（7）电子投标文件格式</w:t>
      </w:r>
    </w:p>
    <w:p w14:paraId="7285216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（8）按照招标文件规定作为招标文件组成部分的其他内容（若有）</w:t>
      </w:r>
    </w:p>
    <w:p w14:paraId="1C817C6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5.2招标文件的澄清或修改</w:t>
      </w:r>
    </w:p>
    <w:p w14:paraId="10AF97E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可对已发出的招标文件进行必要的澄清或修改，但不得对招标文件载明的采购标的和投标人的资格要求进行改变。</w:t>
      </w:r>
    </w:p>
    <w:p w14:paraId="049EF30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（2）除本章第5.2条第（3）款规定情形外，澄清或修改的内容可能影响电子投标文件编制的，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将在投标截止时间至少15个日历日前，在招标文件载明的指定媒体以更正公告的形式发布澄清或修改的内容。不足15个日历日的，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将顺延投标截止时间及开标时间，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和投标人受原投标截止时间及开标时间制约的所有权利和义务均延长至新的投标截止时间及开标时间。</w:t>
      </w:r>
    </w:p>
    <w:p w14:paraId="16DB3E3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（3）澄清或修改的内容可能改变招标文件载明的采购标的和投标人的资格要求的，本次采购活动结束，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将依法组织后续采购活动（包括但不限于：重新招标、采用其他方式采购等）。</w:t>
      </w:r>
    </w:p>
    <w:p w14:paraId="6FB5789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6、现场考察或开标前答疑会</w:t>
      </w:r>
    </w:p>
    <w:p w14:paraId="41F8B23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6.1是否组织现场考察或召开开标前答疑会：详见招标文件第二章。</w:t>
      </w:r>
    </w:p>
    <w:p w14:paraId="65FA9AD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7、更正公告</w:t>
      </w:r>
    </w:p>
    <w:p w14:paraId="4FA3E37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7.1若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发布更正公告，则更正公告及其所发布的内容或信息（包括但不限于：招标文件的澄清或修改、现场考察或答疑会的有关事宜等）作为招标文件组成部分，对投标人具有约束力。</w:t>
      </w:r>
    </w:p>
    <w:p w14:paraId="209D83F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7.2更正公告作为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通知所有潜在投标人的书面形式。</w:t>
      </w:r>
    </w:p>
    <w:p w14:paraId="0C094F4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8、终止公告</w:t>
      </w:r>
    </w:p>
    <w:p w14:paraId="4D8A348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8.1若出现因重大变故导致采购任务取消情形，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可终止招标并发布终止公告。</w:t>
      </w:r>
    </w:p>
    <w:p w14:paraId="0CF6643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8.2终止公告作为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通知所有潜在投标人的书面形式。</w:t>
      </w:r>
    </w:p>
    <w:p w14:paraId="770F3D43">
      <w:pPr>
        <w:ind w:firstLine="480"/>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四、投标</w:t>
      </w:r>
    </w:p>
    <w:p w14:paraId="496532F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9、投标</w:t>
      </w:r>
    </w:p>
    <w:p w14:paraId="3AFD77F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9.1投标人可对招标文件载明的全部或部分采购包进行投标。</w:t>
      </w:r>
    </w:p>
    <w:p w14:paraId="3278BCB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9.2投标人应对同一个采购包内的所有内容进行完整投标，否则投标无效。</w:t>
      </w:r>
    </w:p>
    <w:p w14:paraId="76142C0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9.3投标人代表只能接受一个投标人的授权参加投标，否则投标无效。</w:t>
      </w:r>
    </w:p>
    <w:p w14:paraId="6107607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9.4单位负责人为同一人或存在直接控股、管理关系的不同供应商，不得同时参加同一合同项下的投标，否则投标无效。</w:t>
      </w:r>
    </w:p>
    <w:p w14:paraId="7E47A81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9.5为本项目提供整体设计、规范编制或项目管理、监理、检测等服务的供应商，不得参加本项目除整体设计、规范编制和项目管理、监理、检测等服务外的采购活动，否则投标无效。</w:t>
      </w:r>
    </w:p>
    <w:p w14:paraId="7227468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9.6列入失信被执行人、重大税收违法案件当事人名单、政府采购严重违法失信行为记录名单及其他不符合政府采购法第二十二条规定条件的供应商，不得参加投标，否则投标无效。</w:t>
      </w:r>
    </w:p>
    <w:p w14:paraId="7435A62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9.7有下列情形之一的，视为投标人串通投标，其投标无效：</w:t>
      </w:r>
    </w:p>
    <w:p w14:paraId="2D7211A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（1）不同投标人的电子投标文件由同一单位或个人编制；</w:t>
      </w:r>
    </w:p>
    <w:p w14:paraId="7E74186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（2）不同投标人委托同一单位或个人办理投标事宜；</w:t>
      </w:r>
    </w:p>
    <w:p w14:paraId="146835A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（3）不同投标人的电子投标文件载明的项目管理成员或联系人员为同一人；</w:t>
      </w:r>
    </w:p>
    <w:p w14:paraId="05862D1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（4）不同投标人的电子投标文件异常一致或投标报价呈规律性差异；</w:t>
      </w:r>
    </w:p>
    <w:p w14:paraId="52C49C1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（5）不同投标人的电子投标文件相互混装；</w:t>
      </w:r>
    </w:p>
    <w:p w14:paraId="0E2FE5D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（6）不同投标人的投标保证金从同一单位或个人的账户转出；</w:t>
      </w:r>
    </w:p>
    <w:p w14:paraId="71B4247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（7）有关法律、法规和规章及招标文件规定的其他串通投标情形。</w:t>
      </w:r>
    </w:p>
    <w:p w14:paraId="13839EF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10、电子投标文件</w:t>
      </w:r>
    </w:p>
    <w:p w14:paraId="7B224E6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10.1电子投标文件的编制</w:t>
      </w:r>
    </w:p>
    <w:p w14:paraId="3EE6FB8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（1）投标人应先仔细阅读招标文件的全部内容后，再进行电子投标文件的编制。</w:t>
      </w:r>
    </w:p>
    <w:p w14:paraId="6111A08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（2）电子投标文件应按照本章第10.2条规定编制其组成部分。</w:t>
      </w:r>
    </w:p>
    <w:p w14:paraId="77CE3BB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（3）电子投标文件应满足招标文件提出的实质性要求和条件，并保证其所提交的全部资料是不可割离且真实、有效、准确、完整和不具有任何误导性的，否则造成不利后果由投标人承担责任。</w:t>
      </w:r>
    </w:p>
    <w:p w14:paraId="31558BF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10.2电子投标文件由下述部分组成：</w:t>
      </w:r>
    </w:p>
    <w:p w14:paraId="116903B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（1）资格及资信证明部分</w:t>
      </w:r>
    </w:p>
    <w:p w14:paraId="007BCE9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①投标函</w:t>
      </w:r>
    </w:p>
    <w:p w14:paraId="7CC4965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②投标人的资格及资信证明文件</w:t>
      </w:r>
    </w:p>
    <w:p w14:paraId="728EF45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③投标保证金</w:t>
      </w:r>
    </w:p>
    <w:p w14:paraId="443B4A5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（2）报价部分</w:t>
      </w:r>
    </w:p>
    <w:p w14:paraId="3CD6813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①开标（报价）一览表</w:t>
      </w:r>
    </w:p>
    <w:p w14:paraId="0B7FFE4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②投标（响应）报价明细表</w:t>
      </w:r>
    </w:p>
    <w:p w14:paraId="29646B4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③招标文件规定的价格扣除证明材料（若有）</w:t>
      </w:r>
    </w:p>
    <w:p w14:paraId="73D4E04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④招标文件规定的加分证明材料（若有）</w:t>
      </w:r>
    </w:p>
    <w:p w14:paraId="0F10DEF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（3）技术商务部分</w:t>
      </w:r>
    </w:p>
    <w:p w14:paraId="6F2F815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①标的说明一览表</w:t>
      </w:r>
    </w:p>
    <w:p w14:paraId="1A6A70E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②技术和服务要求响应表</w:t>
      </w:r>
    </w:p>
    <w:p w14:paraId="55A098D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③商务条件响应表</w:t>
      </w:r>
    </w:p>
    <w:p w14:paraId="5AEA74D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④投标人提交的其他资料（若有）</w:t>
      </w:r>
    </w:p>
    <w:p w14:paraId="696813E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⑤招标文件规定作为电子投标文件组成部分的其他内容（若有）</w:t>
      </w:r>
    </w:p>
    <w:p w14:paraId="71089A1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10.3电子投标文件的语言</w:t>
      </w:r>
    </w:p>
    <w:p w14:paraId="649FBC1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（1）除招标文件另有规定外，电子投标文件应使用中文文本，若有不同文本，以中文文本为准。</w:t>
      </w:r>
    </w:p>
    <w:p w14:paraId="69168DD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E34FAD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10.4投标文件的份数：详见招标文件第二章。</w:t>
      </w:r>
    </w:p>
    <w:p w14:paraId="5A51520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10.5电子投标文件的格式</w:t>
      </w:r>
    </w:p>
    <w:p w14:paraId="7FF2821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（1）除招标文件另有规定外，电子投标文件应使用招标文件第七章规定的格式。</w:t>
      </w:r>
    </w:p>
    <w:p w14:paraId="5A74CEC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（2）除招标文件另有规定外，电子投标文件应使用不能擦去的墨料或墨水打印、书写或复印。</w:t>
      </w:r>
    </w:p>
    <w:p w14:paraId="0A1BBFB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（3）除招标文件另有规定外，电子投标文件应使用人民币作为计量货币。</w:t>
      </w:r>
    </w:p>
    <w:p w14:paraId="5919E29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（4）除招标文件另有规定外，签署、盖章应遵守下列规定：</w:t>
      </w:r>
    </w:p>
    <w:p w14:paraId="3DBC13D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①电子投标文件应加盖投标人的单位公章。若投标人代表为单位授权的委托代理人，应提供“单位授权书”。</w:t>
      </w:r>
    </w:p>
    <w:p w14:paraId="65A9B02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②电子投标文件应没有涂改或行间插字，除非这些改动是根据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的指示进行的，或是为改正投标人造成的应修改的错误而进行的。若有前述改动，应按照下列规定之一对改动处进行处理：</w:t>
      </w:r>
    </w:p>
    <w:p w14:paraId="0023670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a.投标人代表签字确认；</w:t>
      </w:r>
    </w:p>
    <w:p w14:paraId="1A715C1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b.加盖投标人的单位公章或校正章。</w:t>
      </w:r>
    </w:p>
    <w:p w14:paraId="513E163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10.6投标报价</w:t>
      </w:r>
    </w:p>
    <w:p w14:paraId="6F52516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（1）投标报价超出最高限价将导致投标无效。</w:t>
      </w:r>
    </w:p>
    <w:p w14:paraId="550201D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（2）最高限价由采购人根据价格测算情况，在预算金额的额度内合理设定。最高限价不得超出预算金额。</w:t>
      </w:r>
    </w:p>
    <w:p w14:paraId="75896D0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（3）除招标文件另有规定外，电子投标文件不能出现任何选择性的投标报价，即每一个采购包和品目号的采购标的都只能有一个投标报价。任何选择性的投标报价将导致投标无效。</w:t>
      </w:r>
    </w:p>
    <w:p w14:paraId="4CA478B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10.7分包</w:t>
      </w:r>
    </w:p>
    <w:p w14:paraId="5F5BB02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（1）是否允许中标人将本项目的非主体、非关键性工作进行分包：详见招标文件第二章。</w:t>
      </w:r>
    </w:p>
    <w:p w14:paraId="6F163C0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0A56CEE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（3）招标文件允许中标人将非主体、非关键性工作进行分包的项目，有下列情形之一的，中标人不得分包：</w:t>
      </w:r>
    </w:p>
    <w:p w14:paraId="690FCFE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①电子投标文件中未载明分包承担主体；</w:t>
      </w:r>
    </w:p>
    <w:p w14:paraId="0244ACA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②电子投标文件载明的分包承担主体不具备相应资质条件；</w:t>
      </w:r>
    </w:p>
    <w:p w14:paraId="79BE93C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③电子投标文件载明的分包承担主体拟再次分包；</w:t>
      </w:r>
    </w:p>
    <w:p w14:paraId="2BB85FD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④享受中小企业扶持政策获得政府采购合同的，小微企业不得将合同分包给大中型企业，中型企业不得将合同分包给大型企业。</w:t>
      </w:r>
    </w:p>
    <w:p w14:paraId="3A5E1CD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10.8投标有效期</w:t>
      </w:r>
    </w:p>
    <w:p w14:paraId="40C0934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（1）招标文件载明的投标有效期：详见招标文件第二章。</w:t>
      </w:r>
    </w:p>
    <w:p w14:paraId="35C6FBA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（2）电子投标文件承诺的投标有效期不得少于招标文件载明的投标有效期，否则投标无效。</w:t>
      </w:r>
    </w:p>
    <w:p w14:paraId="0E0E74E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（3）根据本次采购活动的需要，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可于投标有效期届满之前书面要求投标人延长投标有效期，投标人应在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C3BC3E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10.9投标保证金</w:t>
      </w:r>
    </w:p>
    <w:p w14:paraId="7E47CD7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（1）投标保证金作为投标人按照招标文件规定履行相应投标责任、义务的约束及担保。</w:t>
      </w:r>
    </w:p>
    <w:p w14:paraId="0618B0E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（2）投标人以电子保函形式提交投标保证金的，保函的有效期应等于或长于电子投标文件承诺的投标有效期，否则投标无效。</w:t>
      </w:r>
    </w:p>
    <w:p w14:paraId="0AF837E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（3）提交</w:t>
      </w:r>
    </w:p>
    <w:p w14:paraId="2151ADC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①投标人以汇款形式缴纳投标保证金的，应从其银行账户（基本存款账户）按照下列方式：公对公转账方式向招标文件载明的投标保证金账户提交投标保证金，具体金额详见招标文件第一章。</w:t>
      </w:r>
    </w:p>
    <w:p w14:paraId="15E48FE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DEB3C5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③其他形式：</w:t>
      </w:r>
    </w:p>
    <w:p w14:paraId="16F6487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w:t>
      </w:r>
    </w:p>
    <w:p w14:paraId="2DF16D4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④若本项目接受联合体投标且投标人为联合体，则联合体中的牵头方应按照本章第10.9条第（3）款第①、②、③点规定提交投标保证金。</w:t>
      </w:r>
    </w:p>
    <w:p w14:paraId="60D6357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※除招标文件另有规定外，未按照上述规定提交投标保证金将导致资格审查不合格。</w:t>
      </w:r>
    </w:p>
    <w:p w14:paraId="6E631AF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（4）退还</w:t>
      </w:r>
    </w:p>
    <w:p w14:paraId="1779D95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①在投标截止时间前撤回已提交的电子投标文件的投标人，其投标保证金将在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收到投标人书面撤回通知之日起5个工作日内退回原账户。</w:t>
      </w:r>
    </w:p>
    <w:p w14:paraId="0B6A51B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②未中标人的投标保证金将在中标通知书发出之日起5个工作日内退回原账户。</w:t>
      </w:r>
    </w:p>
    <w:p w14:paraId="44763E3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③中标人的投标保证金将在政府采购合同签订之日起5个工作日内退回原账户；合同签订之日以福建省政府采购网上公开信息系统记载的为准。</w:t>
      </w:r>
    </w:p>
    <w:p w14:paraId="3A668F8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④终止招标的，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将在终止公告发布之日起5个工作日内退回已收取的投标保证金及其在银行产生的孳息。</w:t>
      </w:r>
    </w:p>
    <w:p w14:paraId="7BC4275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⑤除招标文件另有规定外，质疑或投诉涉及的投标人，若投标保证金尚未退还，则待质疑或投诉处理完毕后不计利息原额退还。</w:t>
      </w:r>
    </w:p>
    <w:p w14:paraId="2AAAE3F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※本章第10.9条第（4）款第①、②、③点规定的投标保证金退还时限不包括因投标人自身原因导致无法及时退还而增加的时间。</w:t>
      </w:r>
    </w:p>
    <w:p w14:paraId="47872EE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0EE4433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（6）有下列情形之一的，投标保证金将不予退还或通过投标保函进行索赔：</w:t>
      </w:r>
    </w:p>
    <w:p w14:paraId="01D5E82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①投标人串通投标；</w:t>
      </w:r>
    </w:p>
    <w:p w14:paraId="3F9E7B6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②投标人提供虚假材料；</w:t>
      </w:r>
    </w:p>
    <w:p w14:paraId="441C109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③投标人采取不正当手段诋毁、排挤其他投标人；</w:t>
      </w:r>
    </w:p>
    <w:p w14:paraId="7229691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④投标截止时间后，投标人在投标有效期内撤销电子投标文件；</w:t>
      </w:r>
    </w:p>
    <w:p w14:paraId="39107C8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⑤招标文件规定的其他不予退还情形；</w:t>
      </w:r>
    </w:p>
    <w:p w14:paraId="2CB158E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⑥中标人有下列情形之一的：</w:t>
      </w:r>
    </w:p>
    <w:p w14:paraId="0BE02A0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a.除不可抗力外，因中标人自身原因未在中标通知书要求的期限内与采购人签订政府采购合同；</w:t>
      </w:r>
    </w:p>
    <w:p w14:paraId="44F428E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b.未按照招标文件、投标文件的约定签订政府采购合同或提交履约保证金。</w:t>
      </w:r>
    </w:p>
    <w:p w14:paraId="291896C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※若上述投标保证金不予退还情形给采购人（采购代理机构）造成损失，则投标人还要承担相应的赔偿责任。</w:t>
      </w:r>
    </w:p>
    <w:p w14:paraId="0E4EDEA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10.10电子投标文件的提交</w:t>
      </w:r>
    </w:p>
    <w:p w14:paraId="536E1DD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（1）一个投标人只能提交一个电子投标文件，并按照招标文件第一章规定在系统上完成上传、解密操作。</w:t>
      </w:r>
    </w:p>
    <w:p w14:paraId="31A6AA8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10.11电子投标文件的补充、修改或撤回</w:t>
      </w:r>
    </w:p>
    <w:p w14:paraId="42195C5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（1）投标截止时间前，投标人可对所提交的电子投标文件进行补充、修改或撤回，并书面通知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w:t>
      </w:r>
    </w:p>
    <w:p w14:paraId="33D6727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（2）补充、修改的内容应按照本章第10.5条第（4）款规定进行签署、盖章，并按照本章第10.10条规定提交，否则将被拒收。</w:t>
      </w:r>
    </w:p>
    <w:p w14:paraId="0CEB303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※按照上述规定提交的补充、修改内容作为电子投标文件组成部分。</w:t>
      </w:r>
    </w:p>
    <w:p w14:paraId="01D5577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10.12除招标文件另有规定外，有下列情形之一的，投标无效：</w:t>
      </w:r>
    </w:p>
    <w:p w14:paraId="59BD74E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（1）电子投标文件未按照招标文件要求签署、盖章；</w:t>
      </w:r>
    </w:p>
    <w:p w14:paraId="2C1D9E2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（2）不符合招标文件中规定的资格要求；</w:t>
      </w:r>
    </w:p>
    <w:p w14:paraId="1AD09FB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（3）投标报价超过招标文件中规定的预算金额或最高限价；</w:t>
      </w:r>
    </w:p>
    <w:p w14:paraId="2798B1B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（4）电子投标文件含有采购人不能接受的附加条件；</w:t>
      </w:r>
    </w:p>
    <w:p w14:paraId="05BAD5E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（5）有关法律、法规和规章及招标文件规定的其他无效情形。</w:t>
      </w:r>
    </w:p>
    <w:p w14:paraId="36F5FD57">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五、开标</w:t>
      </w:r>
    </w:p>
    <w:p w14:paraId="18DBAC3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11、开标</w:t>
      </w:r>
    </w:p>
    <w:p w14:paraId="2AF229A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11.1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将在招标文件载明的开标时间及地点主持召开开标会，并邀请投标人参加。</w:t>
      </w:r>
    </w:p>
    <w:p w14:paraId="33923AF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11.2开标会的主持人、唱标人、记录人及其他工作人员（若有）均由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派出，现场监督人员（若有）可由有关方面派出。</w:t>
      </w:r>
    </w:p>
    <w:p w14:paraId="1CCC6DF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7EC93B8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11.4开标会应遵守下列规定：</w:t>
      </w:r>
    </w:p>
    <w:p w14:paraId="1A03E48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3F662A7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097AF21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（3）唱标结束后，参加现场开标会的投标人代表应对开标记录进行签字确认，通过远程参与开标流程的投标人须在系统远程签章开启后，在系统规定时间内对开标结果进行签章确认。</w:t>
      </w:r>
    </w:p>
    <w:p w14:paraId="2B48088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4AD73C0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（5）若投标人未到开标现场参加开标会，也未通过远程参加开标会的，视同认可开标结果。</w:t>
      </w:r>
    </w:p>
    <w:p w14:paraId="025D2B3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提出任何疑义或要求（包括质疑）。</w:t>
      </w:r>
    </w:p>
    <w:p w14:paraId="46C1A86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11.5投标截止时间后，参加投标的投标人不足三家的，不进行开标。同时，本次采购活动结束，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将依法组织后续采购活动（包括但不限于：重新招标、采用其他方式采购等）。</w:t>
      </w:r>
    </w:p>
    <w:p w14:paraId="0A9E692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11.6投标截止时间后撤销投标的处理</w:t>
      </w:r>
    </w:p>
    <w:p w14:paraId="0D37287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投标截止时间后，投标人在投标有效期内撤销投标的，其撤销投标的行为无效。</w:t>
      </w:r>
    </w:p>
    <w:p w14:paraId="3A7ACE1C">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六、中标与政府采购合同</w:t>
      </w:r>
    </w:p>
    <w:p w14:paraId="2B47684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12、中标</w:t>
      </w:r>
    </w:p>
    <w:p w14:paraId="2789641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12.1本项目推荐的中标候选人家数：详见招标文件第二章。</w:t>
      </w:r>
    </w:p>
    <w:p w14:paraId="71E10DB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12.2本项目中标人的确定：详见招标文件第二章。</w:t>
      </w:r>
    </w:p>
    <w:p w14:paraId="4E01868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12.3中标公告</w:t>
      </w:r>
    </w:p>
    <w:p w14:paraId="6CB0D5E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（1）中标人确定之日起2个工作日内，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将在招标文件载明的指定媒体以中标公告的形式发布中标结果。</w:t>
      </w:r>
    </w:p>
    <w:p w14:paraId="310E945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（2）中标公告的公告期限为1个工作日。</w:t>
      </w:r>
    </w:p>
    <w:p w14:paraId="591D049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12.4中标通知书</w:t>
      </w:r>
    </w:p>
    <w:p w14:paraId="2F6DD6C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（1）中标公告发布的同时，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将向中标人发出中标通知书。</w:t>
      </w:r>
    </w:p>
    <w:p w14:paraId="4D2092F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（2）中标通知书发出后，采购人不得违法改变中标结果，中标人无正当理由不得放弃中标。</w:t>
      </w:r>
    </w:p>
    <w:p w14:paraId="16977E8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13、政府采购合同</w:t>
      </w:r>
    </w:p>
    <w:p w14:paraId="2EA0C86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B23C41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13.2签订时限：详见须知前附表1的13.2。</w:t>
      </w:r>
    </w:p>
    <w:p w14:paraId="2ED55A0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13.3政府采购合同的履行、违约责任和解决争议的方法等适用民法典。</w:t>
      </w:r>
    </w:p>
    <w:p w14:paraId="4E93D84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13.4采购人与中标人应根据政府采购合同的约定依法履行合同义务。</w:t>
      </w:r>
    </w:p>
    <w:p w14:paraId="541FC2F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13.5政府采购合同履行过程中，采购人若需追加与合同标的相同的货物或服务，则追加采购金额不得超过原合同采购金额的10%。</w:t>
      </w:r>
    </w:p>
    <w:p w14:paraId="4682720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13.6中标人在政府采购合同履行过程中应遵守有关法律、法规和规章的强制性规定（即使前述强制性规定有可能在招标文件中未予列明）。</w:t>
      </w:r>
    </w:p>
    <w:p w14:paraId="679A3A80">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七、询问、质疑与投诉</w:t>
      </w:r>
    </w:p>
    <w:p w14:paraId="23B273C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14、询问</w:t>
      </w:r>
    </w:p>
    <w:p w14:paraId="0630879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14.1潜在投标人或投标人对本次采购活动的有关事项若有疑问，可向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提出询问，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将按照政府采购法及实施条例的有关规定进行答复。</w:t>
      </w:r>
    </w:p>
    <w:p w14:paraId="7C4EBC6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15、质疑</w:t>
      </w:r>
    </w:p>
    <w:p w14:paraId="3150851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15.1针对同一采购程序环节的质疑应在政府采购法及实施条例的时限内一次性提出，对一个项目的不同采购包提出质疑的，应当将各采购包质疑事项集中在一份质疑函中提出，并同时符合下列条件：</w:t>
      </w:r>
    </w:p>
    <w:p w14:paraId="655C085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（1）对招标文件提出质疑的，质疑人应为潜在投标人，且两者的身份、名称等均应保持一致。对采购过程、结果提出质疑的，质疑人应为投标人，且两者的身份、名称等均应保持一致。</w:t>
      </w:r>
    </w:p>
    <w:p w14:paraId="1406842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（2）质疑人应按照招标文件第二章规定方式提交质疑函。</w:t>
      </w:r>
    </w:p>
    <w:p w14:paraId="0949FF8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（3）质疑函应包括下列主要内容：</w:t>
      </w:r>
    </w:p>
    <w:p w14:paraId="6905F65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①质疑人的基本信息，至少包括：全称、地址、邮政编码等；</w:t>
      </w:r>
    </w:p>
    <w:p w14:paraId="1C333C7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②所质疑项目的基本信息，至少包括：项目编号、项目名称等；</w:t>
      </w:r>
    </w:p>
    <w:p w14:paraId="771B398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③所质疑的具体事项（以下简称：“质疑事项”）；</w:t>
      </w:r>
    </w:p>
    <w:p w14:paraId="6F08ED9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④针对质疑事项提出的明确请求，前述明确请求指质疑人提出质疑的目的以及希望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对其质疑作出的处理结果，如：暂停招标投标活动、修改招标文件、停止或纠正违法违规行为、中标结果无效、废标、重新招标等；</w:t>
      </w:r>
    </w:p>
    <w:p w14:paraId="0E94DAD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⑤针对质疑事项导致质疑人自身权益受到损害的必要证明材料，至少包括：</w:t>
      </w:r>
    </w:p>
    <w:p w14:paraId="13BB17F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a.质疑人代表的身份证明材料：</w:t>
      </w:r>
    </w:p>
    <w:p w14:paraId="48CC55F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1CFD439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a2若本项目接受自然人投标且质疑人为自然人的，提供本人的身份证复印件。</w:t>
      </w:r>
    </w:p>
    <w:p w14:paraId="5BCD14F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b.其他证明材料（即事实依据和必要的法律依据）包括但不限于下列材料：</w:t>
      </w:r>
    </w:p>
    <w:p w14:paraId="634C92F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b1所质疑的具体事项是与自己有利害关系的证明材料；</w:t>
      </w:r>
    </w:p>
    <w:p w14:paraId="5BDE2A6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b2质疑函所述事实存在的证明材料，如：采购文件、采购过程或中标结果违法违规或不符合采购文件要求等证明材料；</w:t>
      </w:r>
    </w:p>
    <w:p w14:paraId="77265A6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b3依法应终止采购程序的证明材料；</w:t>
      </w:r>
    </w:p>
    <w:p w14:paraId="67BE97B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b4应重新采购的证明材料；</w:t>
      </w:r>
    </w:p>
    <w:p w14:paraId="61DD2F9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b5采购文件、采购过程或中标、成交结果损害自己合法权益的证明材料等；</w:t>
      </w:r>
    </w:p>
    <w:p w14:paraId="7F2EC38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C6ACD7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⑥质疑人代表及其联系方法的信息，至少包括：姓名、手机、电子信箱、邮寄地址等。</w:t>
      </w:r>
    </w:p>
    <w:p w14:paraId="7328471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⑦提出质疑的日期。</w:t>
      </w:r>
    </w:p>
    <w:p w14:paraId="4BF002E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※质疑人为法人或其他组织的，质疑函应由单位负责人或委托代理人签字或盖章，并加盖投标人的单位公章。质疑人为自然人的，质疑函应由本人签字。</w:t>
      </w:r>
    </w:p>
    <w:p w14:paraId="297484D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15.2对不符合本章第15.1条规定的质疑，将按照下列规定进行处理：</w:t>
      </w:r>
    </w:p>
    <w:p w14:paraId="48C095E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（1）不符合其中第（1）、（2）条规定的，书面告知质疑人不予受理及其理由。</w:t>
      </w:r>
    </w:p>
    <w:p w14:paraId="25C3D0C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（2）不符合其中第（3）条规定的，书面告知质疑人修改、补充后在规定时限内重新提交质疑函。</w:t>
      </w:r>
    </w:p>
    <w:p w14:paraId="36E4775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15.3对符合本章第15.1条规定的质疑，将按照政府采购法及实施条例、政府采购质疑和投诉办法的有关规定进行答复。</w:t>
      </w:r>
    </w:p>
    <w:p w14:paraId="74B5CBC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15.4招标文件的质疑：详见招标文件第二章。</w:t>
      </w:r>
    </w:p>
    <w:p w14:paraId="0259FC4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16、投诉</w:t>
      </w:r>
    </w:p>
    <w:p w14:paraId="4E38230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DF2D7A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16.2投诉应有明确的请求和必要的证明材料，投诉的事项不得超出已质疑事项的范围。</w:t>
      </w:r>
    </w:p>
    <w:p w14:paraId="6CFAF3B6">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八、政府采购政策</w:t>
      </w:r>
    </w:p>
    <w:p w14:paraId="61FF449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17、政府采购政策由财政部根据国家的经济和社会发展政策并会同国家有关部委制定，包括但不限于下列具体政策要求：</w:t>
      </w:r>
    </w:p>
    <w:p w14:paraId="37AD89D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17.1本国产品与非本国产品相关约定</w:t>
      </w:r>
    </w:p>
    <w:p w14:paraId="2FE6444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17.1.1本国产品</w:t>
      </w:r>
    </w:p>
    <w:p w14:paraId="6E74226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30E0009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2A300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（3）对本国产品的支持政策 政府采购活动中既有本国产品又有非本国产品参与竞争的，依法对本国产品给予价格评审优惠，对本国产品的报价给予20%的价格扣除，用扣除后的价格参与评审。</w:t>
      </w:r>
    </w:p>
    <w:p w14:paraId="6F2318D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788F90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17.1.2 非本国产品</w:t>
      </w:r>
    </w:p>
    <w:p w14:paraId="3F796D7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17.1.2.1 进口产品：指通过中国海关报关验放进入中国境内且产自关境外的产品，其中：</w:t>
      </w:r>
    </w:p>
    <w:p w14:paraId="4059458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12BF59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（2）凡在海关特殊监管区域内企业生产或加工（包括从境外进口料件）销往境内其他地区的产品，不作为政府采购项下进口产品。</w:t>
      </w:r>
    </w:p>
    <w:p w14:paraId="4DD8928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（3）对从境外进入海关特殊监管区域，再经办理报关手续后从海关特殊监管区进入境内其他地区的产品，认定为进口产品。</w:t>
      </w:r>
    </w:p>
    <w:p w14:paraId="52E0D86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（4）招标文件列明不允许或未列明允许进口产品参加投标的，均视为拒绝进口产品参加投标。</w:t>
      </w:r>
    </w:p>
    <w:p w14:paraId="765A740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17.1.2.2 </w:t>
      </w:r>
      <w:r>
        <w:rPr>
          <w:rFonts w:hint="eastAsia" w:ascii="仿宋_GB2312" w:hAnsi="仿宋_GB2312" w:eastAsia="仿宋_GB2312" w:cs="仿宋_GB2312"/>
          <w:highlight w:val="none"/>
          <w:lang w:val="en-US" w:eastAsia="zh-CN"/>
        </w:rPr>
        <w:t>其他</w:t>
      </w:r>
      <w:r>
        <w:rPr>
          <w:rFonts w:hint="eastAsia" w:ascii="仿宋_GB2312" w:hAnsi="仿宋_GB2312" w:eastAsia="仿宋_GB2312" w:cs="仿宋_GB2312"/>
          <w:highlight w:val="none"/>
          <w:lang w:val="en-US" w:eastAsia="zh-Hans"/>
        </w:rPr>
        <w:t>非本国产品：指非进口产品且不符合本国产品标准的产品。</w:t>
      </w:r>
    </w:p>
    <w:p w14:paraId="4748945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4BC376D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D75498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（1）中小企业指符合下列条件的中型、小型、微型企业：</w:t>
      </w:r>
    </w:p>
    <w:p w14:paraId="26D9C71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A85327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②符合中小企业划分标准的个体工商户，在政府采购活动中视同中小企业。</w:t>
      </w:r>
    </w:p>
    <w:p w14:paraId="179CC70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（2）在政府采购活动中，供应商提供的货物、工程或者服务符合下列情形的，享受本办法规定的中小企业扶持政策：</w:t>
      </w:r>
    </w:p>
    <w:p w14:paraId="5B579C9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①在货物采购项目中，货物由中小企业制造，即货物由中小企业生产且使用该中小企业商号或者注册商标；</w:t>
      </w:r>
    </w:p>
    <w:p w14:paraId="43FA958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②在工程采购项目中，工程由中小企业承建，即工程施工单位为中小企业；</w:t>
      </w:r>
    </w:p>
    <w:p w14:paraId="2EAC92F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③在服务采购项目中，服务由中小企业承接，即提供服务的人员为中小企业依照《中华人民共和国劳动合同法》订立劳动合同的从业人员。</w:t>
      </w:r>
    </w:p>
    <w:p w14:paraId="245F7F8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在货物采购项目中，供应商提供的货物既有中小企业制造货物，也有大型企业制造货物的，不享受本办法规定的中小企业扶持政策。</w:t>
      </w:r>
    </w:p>
    <w:p w14:paraId="1D6BBA3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以联合体形式参加政府采购活动，联合体各方均为中小企业的，联合体视同中小企业。其中，联合体各方均为小微企业的，联合体视同小微企业。</w:t>
      </w:r>
    </w:p>
    <w:p w14:paraId="1C4BBF5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（3）投标人应当按照招标文件明确的采购标的对应行业的划分标准出具中小企业声明函。</w:t>
      </w:r>
    </w:p>
    <w:p w14:paraId="043FA6B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822FF9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0A9A03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①监狱企业参加采购活动时，应提供由省级以上监狱管理局、戒毒管理局（含新疆生产建设兵团）出具的属于监狱企业的证明文件。</w:t>
      </w:r>
    </w:p>
    <w:p w14:paraId="013990A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②监狱企业视同小型、微型企业。</w:t>
      </w:r>
    </w:p>
    <w:p w14:paraId="1C57C44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（5）残疾人福利性单位指同时符合下列条件的单位：</w:t>
      </w:r>
    </w:p>
    <w:p w14:paraId="3760534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①安置的残疾人占本单位在职职工人数的比例不低于25%（含25%），并且安置的残疾人人数不少于10人（含10人）；</w:t>
      </w:r>
    </w:p>
    <w:p w14:paraId="772A26B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②依法与安置的每位残疾人签订了一年以上（含一年）的劳动合同或服务协议；</w:t>
      </w:r>
    </w:p>
    <w:p w14:paraId="624A1A7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③为安置的每位残疾人按月足额缴纳了基本养老保险、基本医疗保险、失业保险、工伤保险和生育保险等社会保险费；</w:t>
      </w:r>
    </w:p>
    <w:p w14:paraId="1B85D3E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④通过银行等金融机构向安置的每位残疾人，按月支付了不低于单位所在区县适用的经省级人民政府批准的月最低工资标准的工资；</w:t>
      </w:r>
    </w:p>
    <w:p w14:paraId="6ACC269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⑤提供本单位制造的货物、承担的工程或服务，或提供其他残疾人福利性单位制造的货物（不包括使用非残疾人福利性单位注册商标的货物）。</w:t>
      </w:r>
    </w:p>
    <w:p w14:paraId="51F0C13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22C4D1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83ED64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17.4信用记录指由财政部确定的有关网站提供的相关主体信用信息。信用记录的查询及使用应符合财政部文件（财库[2016]125号）规定。</w:t>
      </w:r>
    </w:p>
    <w:p w14:paraId="4EC6008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17.5为落实政府采购政策需满足的要求：详见招标文件第一章。</w:t>
      </w:r>
    </w:p>
    <w:p w14:paraId="69CF9A0A">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九、本项目的有关信息</w:t>
      </w:r>
    </w:p>
    <w:p w14:paraId="5B118D3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18、本项目的有关信息，包括但不限于：招标公告、更正公告（若有）、招标文件、招标文件的澄清或修改（若有）、中标公告、终止公告（若有）、废标公告（若有）等都将在招标文件载明的指定媒体发布。</w:t>
      </w:r>
    </w:p>
    <w:p w14:paraId="15F3F70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18.1指定媒体：详见招标文件第二章。</w:t>
      </w:r>
    </w:p>
    <w:p w14:paraId="58128DA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18.2本项目的潜在投标人或投标人应随时关注指定媒体，否则产生不利后果由其自行承担。</w:t>
      </w:r>
    </w:p>
    <w:p w14:paraId="4FFE44BD">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十、其他事项</w:t>
      </w:r>
    </w:p>
    <w:p w14:paraId="14C1C5C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19、其他事项：</w:t>
      </w:r>
    </w:p>
    <w:p w14:paraId="6B9A7DD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19.1本项目中如涉及商品包装和快递包装的，其包装需求标准应不低于《关于印发〈商品包装政府采购需求标准</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试行</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〉、〈快递包装政府采购需求标准</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试行</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〉的通知》（财办库〔2020〕 123号）规定的包装要求，其他包装需求详见招标文件具体规定。采购人、中标人双方签订合同及验收环节，应包含上述包装要求的条款。</w:t>
      </w:r>
    </w:p>
    <w:p w14:paraId="6E786F4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19.2其他：详见招标文件第二章。</w:t>
      </w:r>
    </w:p>
    <w:p w14:paraId="727CA96E">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37D7D4B4">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第四章 资格审查与评标</w:t>
      </w:r>
    </w:p>
    <w:p w14:paraId="3D1F8EE4">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一、资格审查</w:t>
      </w:r>
    </w:p>
    <w:p w14:paraId="47DC516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1、开标结束后，由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负责资格审查小组的组建及资格审查工作的组织。</w:t>
      </w:r>
    </w:p>
    <w:p w14:paraId="10347D6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1.1资格审查小组</w:t>
      </w:r>
    </w:p>
    <w:p w14:paraId="4B8BF98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资格审查小组由3人组成，并负责具体审查事务，其中由采购人派出的采购人代表至少1人，由</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派出的工作人员至少1人，其余1人可为采购人代表或</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的工作人员。</w:t>
      </w:r>
    </w:p>
    <w:p w14:paraId="0608D48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1.2资格审查的依据是招标文件和电子投标文件。</w:t>
      </w:r>
    </w:p>
    <w:p w14:paraId="46C03E4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1.3资格审查的范围及内容：电子投标文件（资格及资信证明部分），具体如下：</w:t>
      </w:r>
    </w:p>
    <w:p w14:paraId="7CFFDCA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（1）“投标函”；</w:t>
      </w:r>
    </w:p>
    <w:p w14:paraId="20C04DD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（2）“投标人的资格及资信证明文件”</w:t>
      </w:r>
    </w:p>
    <w:p w14:paraId="218964F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①一般资格证明文件：</w:t>
      </w:r>
    </w:p>
    <w:p w14:paraId="2433CC0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144B5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A2C0855">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序号</w:t>
            </w:r>
          </w:p>
        </w:tc>
        <w:tc>
          <w:tcPr>
            <w:tcW w:w="3322" w:type="dxa"/>
          </w:tcPr>
          <w:p w14:paraId="45E1FE7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资格审查要求概况</w:t>
            </w:r>
          </w:p>
        </w:tc>
        <w:tc>
          <w:tcPr>
            <w:tcW w:w="4153" w:type="dxa"/>
          </w:tcPr>
          <w:p w14:paraId="2D1A365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评审点具体描述</w:t>
            </w:r>
          </w:p>
        </w:tc>
      </w:tr>
      <w:tr w14:paraId="4F842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3A5E3A">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3322" w:type="dxa"/>
          </w:tcPr>
          <w:p w14:paraId="73D66A44">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单位授权书</w:t>
            </w:r>
          </w:p>
        </w:tc>
        <w:tc>
          <w:tcPr>
            <w:tcW w:w="4153" w:type="dxa"/>
          </w:tcPr>
          <w:p w14:paraId="7CDE7DD8">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F5C9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72869A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p>
        </w:tc>
        <w:tc>
          <w:tcPr>
            <w:tcW w:w="3322" w:type="dxa"/>
          </w:tcPr>
          <w:p w14:paraId="3B846EB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营业执照等证明文件</w:t>
            </w:r>
          </w:p>
        </w:tc>
        <w:tc>
          <w:tcPr>
            <w:tcW w:w="4153" w:type="dxa"/>
          </w:tcPr>
          <w:p w14:paraId="3495095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7F9B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61038D20">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w:t>
            </w:r>
          </w:p>
        </w:tc>
        <w:tc>
          <w:tcPr>
            <w:tcW w:w="3322" w:type="dxa"/>
          </w:tcPr>
          <w:p w14:paraId="66F2ADC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提供财务状况报告</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财务报告、或资信证明）</w:t>
            </w:r>
          </w:p>
        </w:tc>
        <w:tc>
          <w:tcPr>
            <w:tcW w:w="4153" w:type="dxa"/>
          </w:tcPr>
          <w:p w14:paraId="18003A8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5B4D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8DA6F7D">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w:t>
            </w:r>
          </w:p>
        </w:tc>
        <w:tc>
          <w:tcPr>
            <w:tcW w:w="3322" w:type="dxa"/>
          </w:tcPr>
          <w:p w14:paraId="3EA901E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依法缴纳税收证明材料</w:t>
            </w:r>
          </w:p>
        </w:tc>
        <w:tc>
          <w:tcPr>
            <w:tcW w:w="4153" w:type="dxa"/>
          </w:tcPr>
          <w:p w14:paraId="767E3A3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C365E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D4B17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w:t>
            </w:r>
          </w:p>
        </w:tc>
        <w:tc>
          <w:tcPr>
            <w:tcW w:w="3322" w:type="dxa"/>
          </w:tcPr>
          <w:p w14:paraId="3625936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依法缴纳社会保障资金证明材料</w:t>
            </w:r>
          </w:p>
        </w:tc>
        <w:tc>
          <w:tcPr>
            <w:tcW w:w="4153" w:type="dxa"/>
          </w:tcPr>
          <w:p w14:paraId="2099C1B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0F81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25C920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w:t>
            </w:r>
          </w:p>
        </w:tc>
        <w:tc>
          <w:tcPr>
            <w:tcW w:w="3322" w:type="dxa"/>
          </w:tcPr>
          <w:p w14:paraId="4A32F509">
            <w:pPr>
              <w:jc w:val="both"/>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具备履行合同所必需设备和专业技术能力的声明函</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若有</w:t>
            </w:r>
            <w:r>
              <w:rPr>
                <w:rFonts w:hint="eastAsia" w:ascii="仿宋_GB2312" w:hAnsi="仿宋_GB2312" w:eastAsia="仿宋_GB2312" w:cs="仿宋_GB2312"/>
                <w:highlight w:val="none"/>
                <w:lang w:val="en-US" w:eastAsia="zh-CN"/>
              </w:rPr>
              <w:t>）</w:t>
            </w:r>
          </w:p>
        </w:tc>
        <w:tc>
          <w:tcPr>
            <w:tcW w:w="4153" w:type="dxa"/>
          </w:tcPr>
          <w:p w14:paraId="48A2A64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5143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578B1A5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w:t>
            </w:r>
          </w:p>
        </w:tc>
        <w:tc>
          <w:tcPr>
            <w:tcW w:w="3322" w:type="dxa"/>
          </w:tcPr>
          <w:p w14:paraId="7563328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参加采购活动前三年内在经营活动中没有重大违法记录的声明</w:t>
            </w:r>
          </w:p>
        </w:tc>
        <w:tc>
          <w:tcPr>
            <w:tcW w:w="4153" w:type="dxa"/>
          </w:tcPr>
          <w:p w14:paraId="4D773F9D">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54F6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8C4FD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w:t>
            </w:r>
          </w:p>
        </w:tc>
        <w:tc>
          <w:tcPr>
            <w:tcW w:w="3322" w:type="dxa"/>
          </w:tcPr>
          <w:p w14:paraId="4AB89A18">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信用记录查询结果</w:t>
            </w:r>
          </w:p>
        </w:tc>
        <w:tc>
          <w:tcPr>
            <w:tcW w:w="4153" w:type="dxa"/>
          </w:tcPr>
          <w:p w14:paraId="2219C8C0">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投标截止时间</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前三年内被列入失信被执行人名单、重大税收违法案件当事人名单、政府采购严重违法失信行为记录名单及其他重大违法记录且相关信用惩戒期限未满的，其资格审查不合格。</w:t>
            </w:r>
          </w:p>
        </w:tc>
      </w:tr>
      <w:tr w14:paraId="495B9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CB851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9</w:t>
            </w:r>
          </w:p>
        </w:tc>
        <w:tc>
          <w:tcPr>
            <w:tcW w:w="3322" w:type="dxa"/>
          </w:tcPr>
          <w:p w14:paraId="1979B21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中小企业声明函（以资格条件落实中小企业扶持政策时适用 ）</w:t>
            </w:r>
          </w:p>
        </w:tc>
        <w:tc>
          <w:tcPr>
            <w:tcW w:w="4153" w:type="dxa"/>
          </w:tcPr>
          <w:p w14:paraId="361DF66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2017</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5767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610283A">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w:t>
            </w:r>
          </w:p>
        </w:tc>
        <w:tc>
          <w:tcPr>
            <w:tcW w:w="3322" w:type="dxa"/>
          </w:tcPr>
          <w:p w14:paraId="7FEC3AC4">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联合体协议（若有）</w:t>
            </w:r>
          </w:p>
        </w:tc>
        <w:tc>
          <w:tcPr>
            <w:tcW w:w="4153" w:type="dxa"/>
          </w:tcPr>
          <w:p w14:paraId="7699747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①招标文件接受联合体投标且投标人为联合体的，投标人应提供本协议；否则无须提供。 ②本协议由委托代理人签字或盖章的，应按照招标文件第七章载明的格式提供“单位授权书”。</w:t>
            </w:r>
          </w:p>
        </w:tc>
      </w:tr>
    </w:tbl>
    <w:p w14:paraId="02D8FB2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※备注说明</w:t>
      </w:r>
    </w:p>
    <w:p w14:paraId="6968A6A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①投标人应根据自身实际情况提供上述资格要求的证明材料，格式可参考招标文件第七章提供。</w:t>
      </w:r>
    </w:p>
    <w:p w14:paraId="5EF688E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②投标人提供的相应证明材料复印件均应符合：内容完整、清晰、整洁，并由投标人加盖其单位公章。</w:t>
      </w:r>
    </w:p>
    <w:p w14:paraId="0C52324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③根据招标文件第四章第一点资格审查的1.3“④其他资格证明文件”要求，允许供应商采用资格承诺制的并提供符合要求的资格承诺函，视为满足招标文件的资格要求。</w:t>
      </w:r>
    </w:p>
    <w:p w14:paraId="1004436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④.其他资格证明文件：</w:t>
      </w:r>
    </w:p>
    <w:p w14:paraId="09B9087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641E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E8B96E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资格审查要求概况</w:t>
            </w:r>
          </w:p>
        </w:tc>
        <w:tc>
          <w:tcPr>
            <w:tcW w:w="4614" w:type="dxa"/>
          </w:tcPr>
          <w:p w14:paraId="346E04A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评审点具体描述</w:t>
            </w:r>
          </w:p>
        </w:tc>
      </w:tr>
      <w:tr w14:paraId="5C177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0BB85B0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资格承诺函</w:t>
            </w:r>
          </w:p>
        </w:tc>
        <w:tc>
          <w:tcPr>
            <w:tcW w:w="4614" w:type="dxa"/>
          </w:tcPr>
          <w:p w14:paraId="3A73F2C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①本采购包允许供应商采用资格承诺制。采用资格承诺制的供应商，应当根据投标</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响应</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E04C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C01A25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开标现场随身携带材料</w:t>
            </w:r>
          </w:p>
        </w:tc>
        <w:tc>
          <w:tcPr>
            <w:tcW w:w="4614" w:type="dxa"/>
          </w:tcPr>
          <w:p w14:paraId="2A05B04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项目不接受远程解密，所有准备在开标现场解密的供应商代表均需手持本人身份证原件及CA认证卡（数字证书）用于现场解密电子版投标文件。供应商代表为单位负责人的需手持营业执照及身份证正反面复印件；如果供应商代表不是单位负责人，供应商代表需单独手持《单位负责人授权书》（附单位负责人身份证及被授权人身份证正反面复印件）以便现场核查</w:t>
            </w:r>
          </w:p>
        </w:tc>
      </w:tr>
    </w:tbl>
    <w:p w14:paraId="4B0F974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（3）投标保证金。</w:t>
      </w:r>
    </w:p>
    <w:p w14:paraId="20BA4C4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24048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51E44D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明细</w:t>
            </w:r>
          </w:p>
        </w:tc>
      </w:tr>
      <w:tr w14:paraId="6BD39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AD65D7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未按照招标文件规定提交投标函</w:t>
            </w:r>
          </w:p>
        </w:tc>
      </w:tr>
      <w:tr w14:paraId="4BDD4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4A6A3F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未按照招标文件规定提交投标人的资格及资信文件</w:t>
            </w:r>
          </w:p>
        </w:tc>
      </w:tr>
      <w:tr w14:paraId="156B3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4EC7307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未按照招标文件规定提交投标保证金</w:t>
            </w:r>
          </w:p>
        </w:tc>
      </w:tr>
    </w:tbl>
    <w:p w14:paraId="574563C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p w14:paraId="24B2206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资格审查不合格项：无</w:t>
      </w:r>
    </w:p>
    <w:p w14:paraId="5F8B66D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47BB9B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2、资格审查情况不得私自外泄，有关信息由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统一对外发布。</w:t>
      </w:r>
    </w:p>
    <w:p w14:paraId="1CF76F6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3、资格审查合格的投标人不足三家的，不进行评标。同时，本次采购活动结束，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将依法组织后续采购活动（包括但不限于：重新招标、采用其他方式采购等）。</w:t>
      </w:r>
    </w:p>
    <w:p w14:paraId="153B00D9">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二、评标</w:t>
      </w:r>
    </w:p>
    <w:p w14:paraId="0E5A49E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4、资格审查结束后，由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负责评标委员会的组建及评标工作的组织。</w:t>
      </w:r>
    </w:p>
    <w:p w14:paraId="07E2F33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5、评标委员会</w:t>
      </w:r>
    </w:p>
    <w:p w14:paraId="6EDAA04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由采购人代表和评审专家两部分共7人组成，其中由福建省政府采购评审专家库产生的评审专家5人，由采购人派出的采购人代表2人。。</w:t>
      </w:r>
    </w:p>
    <w:p w14:paraId="4D91F80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5.2评标委员会负责具体评标事务，并按照下列原则依法独立履行有关职责：</w:t>
      </w:r>
    </w:p>
    <w:p w14:paraId="63EF17B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（1）评标应保护国家利益、社会公共利益和各方当事人合法权益，提高采购效益，保证项目质量。</w:t>
      </w:r>
    </w:p>
    <w:p w14:paraId="5D8A739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（2）评标应遵循公平、公正、科学、严谨和择优原则。</w:t>
      </w:r>
    </w:p>
    <w:p w14:paraId="453E7BD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（3）评标的依据是招标文件和电子投标文件。</w:t>
      </w:r>
    </w:p>
    <w:p w14:paraId="4D174D5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（4）应按照招标文件规定推荐中标候选人或确定中标人。</w:t>
      </w:r>
    </w:p>
    <w:p w14:paraId="04C65B9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（5）评标应遵守下列评标纪律：</w:t>
      </w:r>
    </w:p>
    <w:p w14:paraId="17FDF31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①评标情况不得私自外泄，有关信息由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统一对外发布。</w:t>
      </w:r>
    </w:p>
    <w:p w14:paraId="1E2B519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②对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或投标人提供的要求保密的资料，不得摘记翻印和外传。</w:t>
      </w:r>
    </w:p>
    <w:p w14:paraId="48BD3A6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③不得收受投标人或有关人员的任何礼物，不得串联鼓动其他人袒护某投标人。若与投标人存在利害关系，则应主动声明并回避。</w:t>
      </w:r>
    </w:p>
    <w:p w14:paraId="445ECB4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④全体评委应按照招标文件规定进行评标，一切认定事项应查有实据且不得弄虚作假。</w:t>
      </w:r>
    </w:p>
    <w:p w14:paraId="692BE0E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⑤评标中应充分发扬民主，推荐中标候选人或确定中标人后要服从评标报告。</w:t>
      </w:r>
    </w:p>
    <w:p w14:paraId="54DEB2F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※对违反评标纪律的评委，将取消其评委资格，对评标工作造成严重损失者将予以通报批评乃至追究法律责任。</w:t>
      </w:r>
    </w:p>
    <w:p w14:paraId="3E66820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6、评标程序</w:t>
      </w:r>
    </w:p>
    <w:p w14:paraId="3C78D25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6.1评标前的准备工作</w:t>
      </w:r>
    </w:p>
    <w:p w14:paraId="4D8763F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（1）全体评委应认真审阅招标文件，了解评委应履行或遵守的职责、义务和评标纪律。</w:t>
      </w:r>
    </w:p>
    <w:p w14:paraId="11A2C47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（2）参加评标委员会的采购人代表可对本项目的背景和采购需求进行介绍，介绍材料应以书面形式提交（随采购文件一并存档），介绍内容不得含有歧视性、倾向性意见，不得超出招标文件所述范围。</w:t>
      </w:r>
    </w:p>
    <w:p w14:paraId="5CDBB13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6.2符合性审查</w:t>
      </w:r>
    </w:p>
    <w:p w14:paraId="1D86CCB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（1）评标委员会依据招标文件的实质性要求，对通过资格审查的电子投标文件进行符合性审查，以确定其是否满足招标文件的实质性要求。</w:t>
      </w:r>
    </w:p>
    <w:p w14:paraId="1358E39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（2）满足招标文件的实质性要求指电子投标文件对招标文件实质性要求的响应不存在重大偏差或保留。</w:t>
      </w:r>
    </w:p>
    <w:p w14:paraId="51F7F91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769437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5537C2E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（5）评标委员会对所有投标人都执行相同的程序和标准。</w:t>
      </w:r>
    </w:p>
    <w:p w14:paraId="1ED418C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（6）有下列情形之一的，符合性审查不合格：</w:t>
      </w:r>
    </w:p>
    <w:p w14:paraId="5A6AA4E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①项目一般情形：</w:t>
      </w:r>
    </w:p>
    <w:p w14:paraId="044241A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109332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D7BE81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序号</w:t>
            </w:r>
          </w:p>
        </w:tc>
        <w:tc>
          <w:tcPr>
            <w:tcW w:w="3115" w:type="dxa"/>
          </w:tcPr>
          <w:p w14:paraId="5EFA222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符合审查要求概况</w:t>
            </w:r>
          </w:p>
        </w:tc>
        <w:tc>
          <w:tcPr>
            <w:tcW w:w="4153" w:type="dxa"/>
          </w:tcPr>
          <w:p w14:paraId="1B6126A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评审点具体描述</w:t>
            </w:r>
          </w:p>
        </w:tc>
      </w:tr>
      <w:tr w14:paraId="340C8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D19777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3115" w:type="dxa"/>
          </w:tcPr>
          <w:p w14:paraId="029A136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情形1</w:t>
            </w:r>
          </w:p>
        </w:tc>
        <w:tc>
          <w:tcPr>
            <w:tcW w:w="4153" w:type="dxa"/>
          </w:tcPr>
          <w:p w14:paraId="6501EA9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违反招标文件中载明“投标无效”条款的规定；</w:t>
            </w:r>
          </w:p>
        </w:tc>
      </w:tr>
      <w:tr w14:paraId="0ED2A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24ECBC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p>
        </w:tc>
        <w:tc>
          <w:tcPr>
            <w:tcW w:w="3115" w:type="dxa"/>
          </w:tcPr>
          <w:p w14:paraId="5D996F5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情形2</w:t>
            </w:r>
          </w:p>
        </w:tc>
        <w:tc>
          <w:tcPr>
            <w:tcW w:w="4153" w:type="dxa"/>
          </w:tcPr>
          <w:p w14:paraId="56A81BE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属于招标文件第三章第10.12条规定的投标无效情形；</w:t>
            </w:r>
          </w:p>
        </w:tc>
      </w:tr>
      <w:tr w14:paraId="001D4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494C20D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w:t>
            </w:r>
          </w:p>
        </w:tc>
        <w:tc>
          <w:tcPr>
            <w:tcW w:w="3115" w:type="dxa"/>
          </w:tcPr>
          <w:p w14:paraId="1E373EE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情形3</w:t>
            </w:r>
          </w:p>
        </w:tc>
        <w:tc>
          <w:tcPr>
            <w:tcW w:w="4153" w:type="dxa"/>
          </w:tcPr>
          <w:p w14:paraId="19912F7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投标文件对招标文件实质性要求的响应存在重大偏离或保留。</w:t>
            </w:r>
          </w:p>
        </w:tc>
      </w:tr>
    </w:tbl>
    <w:p w14:paraId="6C88CF0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②本项目规定的其他情形：</w:t>
      </w:r>
    </w:p>
    <w:p w14:paraId="5BDF2FE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p w14:paraId="5FD688F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F3DE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849AF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情形</w:t>
            </w:r>
          </w:p>
        </w:tc>
        <w:tc>
          <w:tcPr>
            <w:tcW w:w="4153" w:type="dxa"/>
          </w:tcPr>
          <w:p w14:paraId="7A6C16D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明细</w:t>
            </w:r>
          </w:p>
        </w:tc>
      </w:tr>
      <w:tr w14:paraId="3260E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E2CB1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其他情形</w:t>
            </w:r>
          </w:p>
        </w:tc>
        <w:tc>
          <w:tcPr>
            <w:tcW w:w="4153" w:type="dxa"/>
          </w:tcPr>
          <w:p w14:paraId="2953C2A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招标文件第五章招标内容及要求“二、技术和服务要求”中：以“★”标示的内容为不允许负偏离的实质性要求，若负偏离则投标无效。②技术部分中不得出现报价部分的全部或部分的投标报价信息（或组成资料），否则符合性审查不合格。③违反招标文件中载明“投标无效”条款的规定或不符合招标文件规定的</w:t>
            </w:r>
            <w:r>
              <w:rPr>
                <w:rFonts w:hint="eastAsia" w:ascii="仿宋_GB2312" w:hAnsi="仿宋_GB2312" w:eastAsia="仿宋_GB2312" w:cs="仿宋_GB2312"/>
                <w:highlight w:val="none"/>
                <w:lang w:val="en-US" w:eastAsia="zh-CN"/>
              </w:rPr>
              <w:t>其他</w:t>
            </w:r>
            <w:r>
              <w:rPr>
                <w:rFonts w:hint="eastAsia" w:ascii="仿宋_GB2312" w:hAnsi="仿宋_GB2312" w:eastAsia="仿宋_GB2312" w:cs="仿宋_GB2312"/>
                <w:highlight w:val="none"/>
                <w:lang w:val="en-US" w:eastAsia="zh-Hans"/>
              </w:rPr>
              <w:t>实质性要求。</w:t>
            </w:r>
          </w:p>
        </w:tc>
      </w:tr>
    </w:tbl>
    <w:p w14:paraId="5EB1633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3962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C33CEF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情形</w:t>
            </w:r>
          </w:p>
        </w:tc>
        <w:tc>
          <w:tcPr>
            <w:tcW w:w="4153" w:type="dxa"/>
          </w:tcPr>
          <w:p w14:paraId="673119A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明细</w:t>
            </w:r>
          </w:p>
        </w:tc>
      </w:tr>
      <w:tr w14:paraId="19E21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6C6F2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其他情形</w:t>
            </w:r>
          </w:p>
        </w:tc>
        <w:tc>
          <w:tcPr>
            <w:tcW w:w="4153" w:type="dxa"/>
          </w:tcPr>
          <w:p w14:paraId="7D2989A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①投标人的投标文件对招标文件“第五章 三、商务条件”中的任何一项要求存在负偏离或者未响应的，其投标无效。（本招标文件中有不一致的地方，以此条款为准）。②商务部分中不得出现报价部分的全部或部分的投标报价信息（或组成资料），否则符合性审查不合格。③违反招标文件中载明“投标无效”条款的规定或不符合招标文件规定的</w:t>
            </w:r>
            <w:r>
              <w:rPr>
                <w:rFonts w:hint="eastAsia" w:ascii="仿宋_GB2312" w:hAnsi="仿宋_GB2312" w:eastAsia="仿宋_GB2312" w:cs="仿宋_GB2312"/>
                <w:highlight w:val="none"/>
                <w:lang w:val="en-US" w:eastAsia="zh-CN"/>
              </w:rPr>
              <w:t>其他</w:t>
            </w:r>
            <w:r>
              <w:rPr>
                <w:rFonts w:hint="eastAsia" w:ascii="仿宋_GB2312" w:hAnsi="仿宋_GB2312" w:eastAsia="仿宋_GB2312" w:cs="仿宋_GB2312"/>
                <w:highlight w:val="none"/>
                <w:lang w:val="en-US" w:eastAsia="zh-Hans"/>
              </w:rPr>
              <w:t>实质性要求。</w:t>
            </w:r>
          </w:p>
        </w:tc>
      </w:tr>
    </w:tbl>
    <w:p w14:paraId="0A1E337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价格符合性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7CB9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73504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情形</w:t>
            </w:r>
          </w:p>
        </w:tc>
        <w:tc>
          <w:tcPr>
            <w:tcW w:w="4153" w:type="dxa"/>
          </w:tcPr>
          <w:p w14:paraId="550E44F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明细</w:t>
            </w:r>
          </w:p>
        </w:tc>
      </w:tr>
      <w:tr w14:paraId="6E08A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4E010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其他情形</w:t>
            </w:r>
          </w:p>
        </w:tc>
        <w:tc>
          <w:tcPr>
            <w:tcW w:w="4153" w:type="dxa"/>
          </w:tcPr>
          <w:p w14:paraId="715B282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投标报价超出最高限价或预算金额或不符合招标文件报价要求的，作无效投标处理。</w:t>
            </w:r>
          </w:p>
        </w:tc>
      </w:tr>
    </w:tbl>
    <w:p w14:paraId="59C9D10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6.3澄清有关问题</w:t>
      </w:r>
    </w:p>
    <w:p w14:paraId="16E9DB8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（1）对通过符合性审查的电子投标文件中含义不明确、同类问题表述不一致或有明显文字和计算错误的内容，评标委员会将以书面形式要求投标人作出必要的澄清、说明或补正。</w:t>
      </w:r>
    </w:p>
    <w:p w14:paraId="1752610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3EF8630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（3）电子投标文件报价出现前后不一致的，除招标文件另有规定外，按照下列规定修正：</w:t>
      </w:r>
    </w:p>
    <w:p w14:paraId="21C8717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①开标（报价）一览表内容与电子投标文件中相应内容不一致的，以开标（报价）一览表为准；</w:t>
      </w:r>
      <w:bookmarkStart w:id="0" w:name="_GoBack"/>
      <w:bookmarkEnd w:id="0"/>
    </w:p>
    <w:p w14:paraId="4C47EAE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②大写金额和小写金额不一致的，以大写金额为准；</w:t>
      </w:r>
    </w:p>
    <w:p w14:paraId="293F2AA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③单价金额小数点或百分比有明显错位的，以开标（报价）一览表的总价为准，并修改单价；</w:t>
      </w:r>
    </w:p>
    <w:p w14:paraId="19FD728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④总价金额与按照单价汇总金额不一致的，以单价金额计算结果为准。</w:t>
      </w:r>
    </w:p>
    <w:p w14:paraId="54CBD5C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※同时出现两种以上不一致的，按照前款规定的顺序修正。修正后的报价应按照本章第6.3条第（1）、（2）款规定经投标人确认后产生约束力，投标人不确认的，其投标无效。</w:t>
      </w:r>
    </w:p>
    <w:p w14:paraId="4886CA2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（4）关于细微偏差</w:t>
      </w:r>
    </w:p>
    <w:p w14:paraId="695BEC6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1210EC9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②评标委员会将以书面形式要求存在细微偏差的投标人在评标委员会规定的时间内予以补正。若无法补正，则评标委员会将按照不利于投标人的内容进行认定。</w:t>
      </w:r>
    </w:p>
    <w:p w14:paraId="673986A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（5）关于投标描述（即电子投标文件中描述的内容）</w:t>
      </w:r>
    </w:p>
    <w:p w14:paraId="1690762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①投标描述前后不一致且不涉及证明材料的：按照本章第6.3条第（1）、（2）款规定执行。</w:t>
      </w:r>
    </w:p>
    <w:p w14:paraId="2715074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②投标描述与证明材料不一致或多份证明材料之间不一致的：</w:t>
      </w:r>
    </w:p>
    <w:p w14:paraId="598C244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a.评标委员会将要求投标人进行书面澄清，并按照不利于投标人的内容进行评标。</w:t>
      </w:r>
    </w:p>
    <w:p w14:paraId="40ED113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AC9687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6D97CF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6.4比较与评价</w:t>
      </w:r>
    </w:p>
    <w:p w14:paraId="78BFEB2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（1）按照本章第7条载明的评标方法和标准，对符合性审查合格的电子投标文件进行比较与评价。</w:t>
      </w:r>
    </w:p>
    <w:p w14:paraId="1F38020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（2）关于相同品牌产品（政府采购服务类项目不适用本条款规定）</w:t>
      </w:r>
    </w:p>
    <w:p w14:paraId="1D2B930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2D5E0C8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a.招标文件规定的方式：</w:t>
      </w:r>
    </w:p>
    <w:p w14:paraId="4949EA5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w:t>
      </w:r>
    </w:p>
    <w:p w14:paraId="5544F79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b.招标文件未规定的，采取随机抽取方式确定，其他投标无效。</w:t>
      </w:r>
    </w:p>
    <w:p w14:paraId="003E948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683A62F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a.招标文件规定的方式：</w:t>
      </w:r>
    </w:p>
    <w:p w14:paraId="69C8EC0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w:t>
      </w:r>
    </w:p>
    <w:p w14:paraId="1F7534B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b.招标文件未规定的，采取随机抽取方式确定，其他同品牌投标人不作为中标候选人。</w:t>
      </w:r>
    </w:p>
    <w:p w14:paraId="0A4B7FD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③非单一产品采购项目，多家投标人提供的核心产品品牌相同的，按照本章第6.4条第（2）款第①、②规定处理。</w:t>
      </w:r>
    </w:p>
    <w:p w14:paraId="2C6590F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（3）漏（缺）项</w:t>
      </w:r>
    </w:p>
    <w:p w14:paraId="1A484E2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①招标文件中要求列入报价的费用（含配置、功能），漏（缺）项的报价视为已经包括在投标总价中。</w:t>
      </w:r>
    </w:p>
    <w:p w14:paraId="582F38A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②对多报项及赠送项的价格评标时不予核减，全部进入评标价评议。</w:t>
      </w:r>
    </w:p>
    <w:p w14:paraId="4EFBFCF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6.5推荐中标候选人：详见本章第7.2条规定。</w:t>
      </w:r>
    </w:p>
    <w:p w14:paraId="4643C223">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6.6编写评标报告</w:t>
      </w:r>
    </w:p>
    <w:p w14:paraId="6CAAFDA0">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（1）评标报告由评标委员会负责编写。</w:t>
      </w:r>
    </w:p>
    <w:p w14:paraId="4591083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（2）评标报告应包括下列内容：</w:t>
      </w:r>
    </w:p>
    <w:p w14:paraId="69E07F3E">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①招标公告刊登的媒体名称、开标日期和地点；</w:t>
      </w:r>
    </w:p>
    <w:p w14:paraId="037AF3E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②投标人名单和评标委员会成员名单；</w:t>
      </w:r>
    </w:p>
    <w:p w14:paraId="4CE3486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③评标方法和标准；</w:t>
      </w:r>
    </w:p>
    <w:p w14:paraId="702D7122">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④开标记录和评标情况及说明，包括无效投标人名单及原因；</w:t>
      </w:r>
    </w:p>
    <w:p w14:paraId="648C321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⑤评标结果，包括中标候选人名单或确定的中标人；</w:t>
      </w:r>
    </w:p>
    <w:p w14:paraId="1F98C63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⑥其他需要说明的情况，包括但不限于：评标过程中投标人的澄清、说明或补正，评委更换等。</w:t>
      </w:r>
    </w:p>
    <w:p w14:paraId="7466FED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3EFC354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6.8评委对需要共同认定的事项存在争议的，应按照少数服从多数的原则进行认定。持不同意见的评委应在评标报告上签署不同意见及理由，否则视为同意评标报告。</w:t>
      </w:r>
    </w:p>
    <w:p w14:paraId="697B97F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6.9在评标过程中发现投标人有下列情形之一的，评标委员会应认定其投标无效，并书面报告本项目监督管理部门：</w:t>
      </w:r>
    </w:p>
    <w:p w14:paraId="647CD54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（1）恶意串通（包括但不限于招标文件第三章第9.7条规定情形）；</w:t>
      </w:r>
    </w:p>
    <w:p w14:paraId="2C4E61D6">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（2）妨碍其他投标人的竞争行为；</w:t>
      </w:r>
    </w:p>
    <w:p w14:paraId="473A751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（3）损害采购人或其他投标人的合法权益。</w:t>
      </w:r>
    </w:p>
    <w:p w14:paraId="642F472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6.10评标过程中，有下列情形之一的，应予废标：</w:t>
      </w:r>
    </w:p>
    <w:p w14:paraId="6BE10EA5">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（1）符合性审查合格的投标人不足三家的；</w:t>
      </w:r>
    </w:p>
    <w:p w14:paraId="43598AA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（2）有关法律、法规和规章规定废标的情形。</w:t>
      </w:r>
    </w:p>
    <w:p w14:paraId="020AFFB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※若废标，则本次采购活动结束， </w:t>
      </w:r>
      <w:r>
        <w:rPr>
          <w:rFonts w:hint="eastAsia" w:ascii="仿宋_GB2312" w:hAnsi="仿宋_GB2312" w:eastAsia="仿宋_GB2312" w:cs="仿宋_GB2312"/>
          <w:highlight w:val="none"/>
          <w:lang w:val="en-US" w:eastAsia="zh-CN"/>
        </w:rPr>
        <w:t>闽华晟建设发展有限公司</w:t>
      </w:r>
      <w:r>
        <w:rPr>
          <w:rFonts w:hint="eastAsia" w:ascii="仿宋_GB2312" w:hAnsi="仿宋_GB2312" w:eastAsia="仿宋_GB2312" w:cs="仿宋_GB2312"/>
          <w:highlight w:val="none"/>
          <w:lang w:val="en-US" w:eastAsia="zh-Hans"/>
        </w:rPr>
        <w:t xml:space="preserve"> 将依法组织后续采购活动（包括但不限于：重新招标、采用其他方式采购等）。</w:t>
      </w:r>
    </w:p>
    <w:p w14:paraId="1E5962C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7、评标方法和标准</w:t>
      </w:r>
    </w:p>
    <w:p w14:paraId="0CE0F07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7.1评标方法：</w:t>
      </w:r>
    </w:p>
    <w:p w14:paraId="210B37C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采购包1：综合评分法</w:t>
      </w:r>
    </w:p>
    <w:p w14:paraId="39D77D29">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7.2评标标准</w:t>
      </w:r>
    </w:p>
    <w:p w14:paraId="0DDF747C">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采购包1：综合评分法</w:t>
      </w:r>
    </w:p>
    <w:p w14:paraId="280F4414">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（1）投标文件满足招标文件全部实质性要求，且按照评审因素的量化指标评审得分（即评标总得分）最高的投标人为中标候选人。</w:t>
      </w:r>
    </w:p>
    <w:p w14:paraId="6734491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0D97BC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各项评审因素的设置如下：</w:t>
      </w:r>
    </w:p>
    <w:p w14:paraId="66371FC3">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价格项（F1×A1）满分为10.0000分</w:t>
      </w:r>
    </w:p>
    <w:p w14:paraId="2430771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报价得分=</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评审基准价／评审报价</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070185A">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46"/>
        <w:gridCol w:w="4153"/>
      </w:tblGrid>
      <w:tr w14:paraId="050C6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C9B3FDD">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w:t>
            </w:r>
          </w:p>
        </w:tc>
        <w:tc>
          <w:tcPr>
            <w:tcW w:w="1661" w:type="dxa"/>
          </w:tcPr>
          <w:p w14:paraId="7E4BC5B4">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适用对象</w:t>
            </w:r>
          </w:p>
        </w:tc>
        <w:tc>
          <w:tcPr>
            <w:tcW w:w="831" w:type="dxa"/>
          </w:tcPr>
          <w:p w14:paraId="55FB7CA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比例</w:t>
            </w:r>
          </w:p>
        </w:tc>
        <w:tc>
          <w:tcPr>
            <w:tcW w:w="4153" w:type="dxa"/>
          </w:tcPr>
          <w:p w14:paraId="7EC8740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描述</w:t>
            </w:r>
          </w:p>
        </w:tc>
      </w:tr>
      <w:tr w14:paraId="04E44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EF94E9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小型、微型企业，监狱企业，残疾人福利性单位</w:t>
            </w:r>
          </w:p>
        </w:tc>
        <w:tc>
          <w:tcPr>
            <w:tcW w:w="1661" w:type="dxa"/>
          </w:tcPr>
          <w:p w14:paraId="4DAF2BD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投标人或者联合体均为小型、微型企业</w:t>
            </w:r>
          </w:p>
        </w:tc>
        <w:tc>
          <w:tcPr>
            <w:tcW w:w="831" w:type="dxa"/>
          </w:tcPr>
          <w:p w14:paraId="01437DDB">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15.00%</w:t>
            </w:r>
          </w:p>
        </w:tc>
        <w:tc>
          <w:tcPr>
            <w:tcW w:w="4153" w:type="dxa"/>
          </w:tcPr>
          <w:p w14:paraId="3006579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项目为非专门面向中小企业采购服务类项目。1、评审时，对符合《政府采购促进中小企业发展管理办法》（财库﹝2020﹞46号）及《福建省财政厅关于进一步加大政府采购支持中小企业力度的通知》（闽财规〔2022〕13号）规定的小微企业报价给予价格扣除15%【对于联合协议或者分包意向协议约定小微企业的合同份额占到合同总金额30%以上（含）的，对联合体或者大中型企业的报价扣除比例为 5%】，用扣除后的价格参加评审。投标人须提供合格的中小企业声明函（格式详见第五章），否则不予价格扣除。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3、根据财政部、民政部、中国残联文件（财库[2017]141号）、福建省财政厅《关于残疾人福利性单位参加政府采购活动价格扣除的通知》，凡符合上述文件要求条件的残疾人福利性单位在参加政府采购活动时视同小型、微型企业，享受预留份额、评审中价格扣除等促进中小企业发展的政府采购政策，但必须提供《残疾人福利性单位声明函》，否则评审时不予价格扣除优惠。4、非企业主体（事业单位、社会组织等）与小微企业组成的联合协议或者分包意向协议的均不参于政府采购政策的报价扣除。</w:t>
            </w:r>
          </w:p>
        </w:tc>
      </w:tr>
      <w:tr w14:paraId="17AD5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5B5EBE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小型、微型企业，监狱企业，残疾人福利性单位</w:t>
            </w:r>
          </w:p>
        </w:tc>
        <w:tc>
          <w:tcPr>
            <w:tcW w:w="1661" w:type="dxa"/>
          </w:tcPr>
          <w:p w14:paraId="77E7AF7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联合协议或者分包</w:t>
            </w:r>
          </w:p>
        </w:tc>
        <w:tc>
          <w:tcPr>
            <w:tcW w:w="831" w:type="dxa"/>
          </w:tcPr>
          <w:p w14:paraId="7FF6C40F">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5.00%</w:t>
            </w:r>
          </w:p>
        </w:tc>
        <w:tc>
          <w:tcPr>
            <w:tcW w:w="4153" w:type="dxa"/>
          </w:tcPr>
          <w:p w14:paraId="5992266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项目为非专门面向中小企业采购服务类项目。1、评审时，对符合《政府采购促进中小企业发展管理办法》（财库﹝2020﹞46号）及《福建省财政厅关于进一步加大政府采购支持中小企业力度的通知》（闽财规〔2022〕13号）规定的小微企业报价给予价格扣除15%【对于联合协议或者分包意向协议约定小微企业的合同份额占到合同总金额30%以上（含）的，对联合体或者大中型企业的报价扣除比例为 5%】，用扣除后的价格参加评审。投标人须提供合格的中小企业声明函（格式详见第五章），否则不予价格扣除。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3、根据财政部、民政部、中国残联文件（财库[2017]141号）、福建省财政厅《关于残疾人福利性单位参加政府采购活动价格扣除的通知》，凡符合上述文件要求条件的残疾人福利性单位在参加政府采购活动时视同小型、微型企业，享受预留份额、评审中价格扣除等促进中小企业发展的政府采购政策，但必须提供《残疾人福利性单位声明函》，否则评审时不予价格扣除优惠。4、非企业主体（事业单位、社会组织等）与小微企业组成的联合协议或者分包意向协议的均不参于政府采购政策的报价扣除。</w:t>
            </w:r>
          </w:p>
        </w:tc>
      </w:tr>
    </w:tbl>
    <w:p w14:paraId="21A39E6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其他：无</w:t>
      </w:r>
    </w:p>
    <w:p w14:paraId="04629F70">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技术项（F2×A2）满分为</w:t>
      </w:r>
      <w:r>
        <w:rPr>
          <w:rFonts w:hint="eastAsia" w:ascii="仿宋_GB2312" w:hAnsi="仿宋_GB2312" w:eastAsia="仿宋_GB2312" w:cs="仿宋_GB2312"/>
          <w:highlight w:val="none"/>
          <w:lang w:val="en-US" w:eastAsia="zh-CN"/>
        </w:rPr>
        <w:t>77</w:t>
      </w:r>
      <w:r>
        <w:rPr>
          <w:rFonts w:hint="eastAsia" w:ascii="仿宋_GB2312" w:hAnsi="仿宋_GB2312" w:eastAsia="仿宋_GB2312" w:cs="仿宋_GB2312"/>
          <w:highlight w:val="none"/>
          <w:lang w:val="en-US" w:eastAsia="zh-Hans"/>
        </w:rPr>
        <w:t>.0000分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26"/>
        <w:gridCol w:w="3738"/>
      </w:tblGrid>
      <w:tr w14:paraId="40866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C942F8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w:t>
            </w:r>
          </w:p>
        </w:tc>
        <w:tc>
          <w:tcPr>
            <w:tcW w:w="831" w:type="dxa"/>
          </w:tcPr>
          <w:p w14:paraId="2EFD0CD5">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分值</w:t>
            </w:r>
          </w:p>
        </w:tc>
        <w:tc>
          <w:tcPr>
            <w:tcW w:w="415" w:type="dxa"/>
          </w:tcPr>
          <w:p w14:paraId="6F03941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是否客观项</w:t>
            </w:r>
          </w:p>
        </w:tc>
        <w:tc>
          <w:tcPr>
            <w:tcW w:w="3738" w:type="dxa"/>
          </w:tcPr>
          <w:p w14:paraId="5361B1B0">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描述</w:t>
            </w:r>
          </w:p>
        </w:tc>
      </w:tr>
      <w:tr w14:paraId="2A947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2787F1A">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技术和服务要求的响应情况1</w:t>
            </w:r>
          </w:p>
        </w:tc>
        <w:tc>
          <w:tcPr>
            <w:tcW w:w="831" w:type="dxa"/>
          </w:tcPr>
          <w:p w14:paraId="134C5EB4">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CN"/>
              </w:rPr>
              <w:t>21</w:t>
            </w:r>
            <w:r>
              <w:rPr>
                <w:rFonts w:hint="eastAsia" w:ascii="仿宋_GB2312" w:hAnsi="仿宋_GB2312" w:eastAsia="仿宋_GB2312" w:cs="仿宋_GB2312"/>
                <w:highlight w:val="none"/>
                <w:lang w:val="en-US" w:eastAsia="zh-Hans"/>
              </w:rPr>
              <w:t>.00</w:t>
            </w:r>
          </w:p>
        </w:tc>
        <w:tc>
          <w:tcPr>
            <w:tcW w:w="415" w:type="dxa"/>
          </w:tcPr>
          <w:p w14:paraId="2577FB9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3AA03F2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投标人对第五章《招标内容及要求》中“二、技术和服务要求”的逐项响应承诺情况进行评分（需提供技术和服务要求响应表）：标注“★”符号的技术参数（共4项）有负偏离按无效投标处理。标注“▲”符号的技术参数</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共1</w:t>
            </w:r>
            <w:r>
              <w:rPr>
                <w:rFonts w:hint="eastAsia" w:ascii="仿宋_GB2312" w:hAnsi="仿宋_GB2312" w:eastAsia="仿宋_GB2312" w:cs="仿宋_GB2312"/>
                <w:highlight w:val="none"/>
                <w:lang w:val="en-US" w:eastAsia="zh-CN"/>
              </w:rPr>
              <w:t>0</w:t>
            </w:r>
            <w:r>
              <w:rPr>
                <w:rFonts w:hint="eastAsia" w:ascii="仿宋_GB2312" w:hAnsi="仿宋_GB2312" w:eastAsia="仿宋_GB2312" w:cs="仿宋_GB2312"/>
                <w:highlight w:val="none"/>
                <w:lang w:val="en-US" w:eastAsia="zh-Hans"/>
              </w:rPr>
              <w:t>项），每负偏离一项扣</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lang w:val="en-US" w:eastAsia="zh-Hans"/>
              </w:rPr>
              <w:t>.</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lang w:val="en-US" w:eastAsia="zh-Hans"/>
              </w:rPr>
              <w:t>分（满分</w:t>
            </w:r>
            <w:r>
              <w:rPr>
                <w:rFonts w:hint="eastAsia" w:ascii="仿宋_GB2312" w:hAnsi="仿宋_GB2312" w:eastAsia="仿宋_GB2312" w:cs="仿宋_GB2312"/>
                <w:highlight w:val="none"/>
                <w:lang w:val="en-US" w:eastAsia="zh-CN"/>
              </w:rPr>
              <w:t>21</w:t>
            </w:r>
            <w:r>
              <w:rPr>
                <w:rFonts w:hint="eastAsia" w:ascii="仿宋_GB2312" w:hAnsi="仿宋_GB2312" w:eastAsia="仿宋_GB2312" w:cs="仿宋_GB2312"/>
                <w:highlight w:val="none"/>
                <w:lang w:val="en-US" w:eastAsia="zh-Hans"/>
              </w:rPr>
              <w:t>分）；扣完为止，正偏离不加分。【注：招标文件技术参数中若有要求投标人提供相应佐证材料的，投标人未提供相应佐证材料或者投标人的响应承诺与其佐证材料不一致的，评标委员会将以不利于投标人的内容为准进行评审（负偏离）。招标文件不一致的以此为准。】</w:t>
            </w:r>
          </w:p>
        </w:tc>
      </w:tr>
      <w:tr w14:paraId="7641D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287BD1D">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技术和服务要求的响应情况2</w:t>
            </w:r>
          </w:p>
        </w:tc>
        <w:tc>
          <w:tcPr>
            <w:tcW w:w="831" w:type="dxa"/>
          </w:tcPr>
          <w:p w14:paraId="1FDEA4AB">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19.00</w:t>
            </w:r>
          </w:p>
        </w:tc>
        <w:tc>
          <w:tcPr>
            <w:tcW w:w="415" w:type="dxa"/>
          </w:tcPr>
          <w:p w14:paraId="23C6D93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75784750">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根据投标人对第五章《招标内容及要求》中“二、技术和服务要求”的逐项响应承诺情况进行评分（需提供技术和服务要求响应表）：未标注“★”符号或“▲”的技术参数</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总计19项评审指标）每负偏离一项扣1分（满分19分）；扣完为止，正偏离不加分。标注“★”符号或“▲”符号的内容、演示的内容与未标注符号的技术参数不重复计分。【注：招标文件技术参数中若有要求投标人提供相应佐证材料的，投标人未提供相应佐证材料或者投标人的响应承诺与其佐证材料不一致的，评标委员会将以不利于投标人的内容为准进行评审（负偏离）。招标文件不一致的以此为准。】</w:t>
            </w:r>
          </w:p>
        </w:tc>
      </w:tr>
      <w:tr w14:paraId="429C8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0A3474A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项目整体理解</w:t>
            </w:r>
          </w:p>
        </w:tc>
        <w:tc>
          <w:tcPr>
            <w:tcW w:w="831" w:type="dxa"/>
          </w:tcPr>
          <w:p w14:paraId="0382DD95">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542385C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否</w:t>
            </w:r>
          </w:p>
        </w:tc>
        <w:tc>
          <w:tcPr>
            <w:tcW w:w="3738" w:type="dxa"/>
          </w:tcPr>
          <w:p w14:paraId="25655165">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各投标人对本项目的项目整体理解（包括：①项目背景、②政策支持、③项目目标分析等）由评委对照上列3项指标按：①方案包含的要点齐全无缺漏、内容与要点一致、各要点详细阐述、思路结构清晰，合理可行，细节周全且适用于本项目的得3分；②方案所包含的要点齐全、内容与要点一致、各要点有阐述但不具体、思路结构较清晰，较合理可行，细节较周全且基本适用的得2.7分；③方案所包含的要点有缺漏或内容与要点一致但仅有纲要、内容简略未详细阐述且基本适用的得2.4分；④未提供不得分。【本项满分3分】</w:t>
            </w:r>
          </w:p>
        </w:tc>
      </w:tr>
      <w:tr w14:paraId="62601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4CA6DA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项目设计方案</w:t>
            </w:r>
          </w:p>
        </w:tc>
        <w:tc>
          <w:tcPr>
            <w:tcW w:w="831" w:type="dxa"/>
          </w:tcPr>
          <w:p w14:paraId="13DAC1E6">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24BD3BD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否</w:t>
            </w:r>
          </w:p>
        </w:tc>
        <w:tc>
          <w:tcPr>
            <w:tcW w:w="3738" w:type="dxa"/>
          </w:tcPr>
          <w:p w14:paraId="1247F80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各投标人提供的“项目设计方案”（包括：①项目总体思路、②人员组织结构、③项目进度安排等）由评委对照上列3项指标按：①方案包含的要点齐全无缺漏、内容与要点一致、各要点详细阐述、思路结构清晰，合理可行，细节周全且适用于本项目的得3分；②方案所包含的要点齐全、内容与要点一致、各要点有阐述但不具体、思路结构较清晰，较合理可行，细节较周全且基本适用的得2.7分；③方案所包含的要点有缺漏或内容与要点一致但仅有纲要、内容简略未详细阐述且基本适用的得2.4分；④未提供不得分。【本项满分3分】</w:t>
            </w:r>
          </w:p>
        </w:tc>
      </w:tr>
      <w:tr w14:paraId="72A91B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A88C81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常态化巡查方案</w:t>
            </w:r>
          </w:p>
        </w:tc>
        <w:tc>
          <w:tcPr>
            <w:tcW w:w="831" w:type="dxa"/>
          </w:tcPr>
          <w:p w14:paraId="454C4DF2">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2A2C3E3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否</w:t>
            </w:r>
          </w:p>
        </w:tc>
        <w:tc>
          <w:tcPr>
            <w:tcW w:w="3738" w:type="dxa"/>
          </w:tcPr>
          <w:p w14:paraId="52C6611C">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各投标人提供的“常态化巡查方案”包括：①方案总体思路、②巡逻路线安排、③巡逻报告输出等）由评委对照上列3项指标按：①方案包含的要点齐全无缺漏、内容与要点一致、各要点详细阐述、思路结构清晰，合理可行，细节周全且适用于本项目的得3分；②方案所包含的要点齐全、内容与要点一致、各要点有阐述但不具体、思路结构较清晰，较合理可行，细节较周全且基本适用的得2.7分；③方案所包含的要点有缺漏或内容与要点一致但仅有纲要、内容简略未详细阐述且基本适用的得2.4分；④未提供不得分。【本项满分3分】</w:t>
            </w:r>
          </w:p>
        </w:tc>
      </w:tr>
      <w:tr w14:paraId="0226D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5F4817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安全技术保障方案</w:t>
            </w:r>
          </w:p>
        </w:tc>
        <w:tc>
          <w:tcPr>
            <w:tcW w:w="831" w:type="dxa"/>
          </w:tcPr>
          <w:p w14:paraId="37FDC071">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2E4BCB5C">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否</w:t>
            </w:r>
          </w:p>
        </w:tc>
        <w:tc>
          <w:tcPr>
            <w:tcW w:w="3738" w:type="dxa"/>
          </w:tcPr>
          <w:p w14:paraId="47F9539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各投标人提供的“安全技术保障方案”（包括：①总体思路、②飞行安全措施、③数据安全及保密措施、④应急处置方案等）由评委对照上列4项指标按：①方案包含的要点齐全无缺漏、内容与要点一致、各要点详细阐述、思路结构清晰，合理可行，细节周全且适用于本项目的得3分；②方案所包含的要点齐全、内容与要点一致、各要点有阐述但不具体、思路结构较清晰，较合理可行，细节较周全且基本适用的得2.7分；③方案所包含的要点有缺漏或内容与要点一致但仅有纲要、内容简略未详细阐述且基本适用的得2.4分；④未提供不得分。【本项满分3分】</w:t>
            </w:r>
          </w:p>
        </w:tc>
      </w:tr>
      <w:tr w14:paraId="22520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40ED3E0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质量保证方案</w:t>
            </w:r>
          </w:p>
        </w:tc>
        <w:tc>
          <w:tcPr>
            <w:tcW w:w="831" w:type="dxa"/>
          </w:tcPr>
          <w:p w14:paraId="730E0DEB">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417C247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否</w:t>
            </w:r>
          </w:p>
        </w:tc>
        <w:tc>
          <w:tcPr>
            <w:tcW w:w="3738" w:type="dxa"/>
          </w:tcPr>
          <w:p w14:paraId="374FC34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各投标人提供的“质量保证方案”（包括：①方案总体思路、②质检方案、③成果管理等）由评委对照上列3项指标按：①方案包含的要点齐全无缺漏、内容与要点一致、各要点详细阐述、思路结构清晰，合理可行，细节周全且适用于本项目的得3分；②方案所包含的要点齐全、内容与要点一致、各要点有阐述但不具体、思路结构较清晰，较合理可行，细节较周全且基本适用的得2.7分；③方案所包含的要点有缺漏或内容与要点一致但仅有纲要、内容简略未详细阐述且基本适用的得2.4分；④未提供不得分。【本项满分3分】</w:t>
            </w:r>
          </w:p>
        </w:tc>
      </w:tr>
      <w:tr w14:paraId="155F5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3C4F2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项目经理</w:t>
            </w:r>
          </w:p>
        </w:tc>
        <w:tc>
          <w:tcPr>
            <w:tcW w:w="831" w:type="dxa"/>
          </w:tcPr>
          <w:p w14:paraId="7AD1D2DC">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1.00</w:t>
            </w:r>
          </w:p>
        </w:tc>
        <w:tc>
          <w:tcPr>
            <w:tcW w:w="415" w:type="dxa"/>
          </w:tcPr>
          <w:p w14:paraId="450F3F9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383A4393">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投标人拟派本项目的项目经理（不得与运维负责人、技术负责人和飞行服务人员为同一人）具有政府部门核发的民用无人驾驶航空器（中型超视距）操控员（教员）执照的得1分。【 注：投标人须同时提供：①相关证书复印件；②投标截止时间前六个月（不含投标截止时间的当月）中任一月份投标人为其缴纳社保的证明材料，未按以上要求提供证明材料的不得分。】</w:t>
            </w:r>
          </w:p>
        </w:tc>
      </w:tr>
      <w:tr w14:paraId="70B60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2E6367C7">
            <w:pPr>
              <w:jc w:val="both"/>
              <w:rPr>
                <w:rFonts w:hint="eastAsia" w:ascii="仿宋_GB2312" w:hAnsi="仿宋_GB2312" w:eastAsia="仿宋_GB2312" w:cs="仿宋_GB2312"/>
                <w:highlight w:val="none"/>
                <w:lang w:val="en-US" w:eastAsia="zh-Hans"/>
              </w:rPr>
            </w:pPr>
            <w:r>
              <w:rPr>
                <w:rFonts w:hint="eastAsia" w:ascii="仿宋_GB2312" w:hAnsi="仿宋_GB2312" w:eastAsia="仿宋_GB2312" w:cs="仿宋_GB2312"/>
                <w:highlight w:val="none"/>
                <w:lang w:val="en-US" w:eastAsia="zh-CN"/>
              </w:rPr>
              <w:t>运维负责人</w:t>
            </w:r>
          </w:p>
        </w:tc>
        <w:tc>
          <w:tcPr>
            <w:tcW w:w="831" w:type="dxa"/>
            <w:vAlign w:val="top"/>
          </w:tcPr>
          <w:p w14:paraId="698A1AA9">
            <w:pPr>
              <w:jc w:val="both"/>
              <w:rPr>
                <w:rFonts w:hint="eastAsia" w:ascii="仿宋_GB2312" w:hAnsi="仿宋_GB2312" w:eastAsia="仿宋_GB2312" w:cs="仿宋_GB2312"/>
                <w:highlight w:val="none"/>
                <w:lang w:val="en-US" w:eastAsia="zh-Hans"/>
              </w:rPr>
            </w:pP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highlight w:val="none"/>
                <w:lang w:val="en-US" w:eastAsia="zh-Hans"/>
              </w:rPr>
              <w:t>.00</w:t>
            </w:r>
          </w:p>
        </w:tc>
        <w:tc>
          <w:tcPr>
            <w:tcW w:w="415" w:type="dxa"/>
            <w:vAlign w:val="top"/>
          </w:tcPr>
          <w:p w14:paraId="10BB3C63">
            <w:pPr>
              <w:jc w:val="both"/>
              <w:rPr>
                <w:rFonts w:hint="eastAsia" w:ascii="仿宋_GB2312" w:hAnsi="仿宋_GB2312" w:eastAsia="仿宋_GB2312" w:cs="仿宋_GB2312"/>
                <w:highlight w:val="none"/>
                <w:lang w:val="en-US" w:eastAsia="zh-Hans"/>
              </w:rPr>
            </w:pPr>
            <w:r>
              <w:rPr>
                <w:rFonts w:hint="eastAsia" w:ascii="仿宋_GB2312" w:hAnsi="仿宋_GB2312" w:eastAsia="仿宋_GB2312" w:cs="仿宋_GB2312"/>
                <w:highlight w:val="none"/>
                <w:lang w:val="en-US" w:eastAsia="zh-Hans"/>
              </w:rPr>
              <w:t>是</w:t>
            </w:r>
          </w:p>
        </w:tc>
        <w:tc>
          <w:tcPr>
            <w:tcW w:w="3738" w:type="dxa"/>
            <w:vAlign w:val="top"/>
          </w:tcPr>
          <w:p w14:paraId="4F9091F4">
            <w:pPr>
              <w:jc w:val="both"/>
              <w:rPr>
                <w:rFonts w:hint="eastAsia" w:ascii="仿宋_GB2312" w:hAnsi="仿宋_GB2312" w:eastAsia="仿宋_GB2312" w:cs="仿宋_GB2312"/>
                <w:highlight w:val="none"/>
                <w:lang w:val="en-US" w:eastAsia="zh-Hans"/>
              </w:rPr>
            </w:pPr>
            <w:r>
              <w:rPr>
                <w:rFonts w:hint="eastAsia" w:ascii="仿宋_GB2312" w:hAnsi="仿宋_GB2312" w:eastAsia="仿宋_GB2312" w:cs="仿宋_GB2312"/>
                <w:highlight w:val="none"/>
                <w:lang w:val="en-US" w:eastAsia="zh-Hans"/>
              </w:rPr>
              <w:t>投标人针对为本项目配备</w:t>
            </w:r>
            <w:r>
              <w:rPr>
                <w:rFonts w:hint="eastAsia" w:ascii="仿宋_GB2312" w:hAnsi="仿宋_GB2312" w:eastAsia="仿宋_GB2312" w:cs="仿宋_GB2312"/>
                <w:highlight w:val="none"/>
                <w:lang w:val="en-US" w:eastAsia="zh-CN"/>
              </w:rPr>
              <w:t>运维负责人</w:t>
            </w:r>
            <w:r>
              <w:rPr>
                <w:rFonts w:hint="eastAsia" w:ascii="仿宋_GB2312" w:hAnsi="仿宋_GB2312" w:eastAsia="仿宋_GB2312" w:cs="仿宋_GB2312"/>
                <w:highlight w:val="none"/>
                <w:lang w:val="en-US" w:eastAsia="zh-Hans"/>
              </w:rPr>
              <w:t>1名（不得与</w:t>
            </w:r>
            <w:r>
              <w:rPr>
                <w:rFonts w:hint="eastAsia" w:ascii="仿宋_GB2312" w:hAnsi="仿宋_GB2312" w:eastAsia="仿宋_GB2312" w:cs="仿宋_GB2312"/>
                <w:highlight w:val="none"/>
                <w:lang w:val="en-US" w:eastAsia="zh-CN"/>
              </w:rPr>
              <w:t>项目经理、</w:t>
            </w:r>
            <w:r>
              <w:rPr>
                <w:rFonts w:hint="eastAsia" w:ascii="仿宋_GB2312" w:hAnsi="仿宋_GB2312" w:eastAsia="仿宋_GB2312" w:cs="仿宋_GB2312"/>
                <w:highlight w:val="none"/>
                <w:lang w:val="en-US" w:eastAsia="zh-Hans"/>
              </w:rPr>
              <w:t>技术负责人和飞行</w:t>
            </w:r>
            <w:r>
              <w:rPr>
                <w:rFonts w:hint="eastAsia" w:ascii="仿宋_GB2312" w:hAnsi="仿宋_GB2312" w:eastAsia="仿宋_GB2312" w:cs="仿宋_GB2312"/>
                <w:highlight w:val="none"/>
                <w:lang w:val="en-US" w:eastAsia="zh-CN"/>
              </w:rPr>
              <w:t>服务</w:t>
            </w:r>
            <w:r>
              <w:rPr>
                <w:rFonts w:hint="eastAsia" w:ascii="仿宋_GB2312" w:hAnsi="仿宋_GB2312" w:eastAsia="仿宋_GB2312" w:cs="仿宋_GB2312"/>
                <w:highlight w:val="none"/>
                <w:lang w:val="en-US" w:eastAsia="zh-Hans"/>
              </w:rPr>
              <w:t>人员为同一人），应具备以下证书：信息系统项目管理师</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CDP（DCMM注册数据管理师）</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高级网络信息安全工程师</w:t>
            </w:r>
            <w:r>
              <w:rPr>
                <w:rFonts w:hint="eastAsia" w:ascii="仿宋_GB2312" w:hAnsi="仿宋_GB2312" w:eastAsia="仿宋_GB2312" w:cs="仿宋_GB2312"/>
                <w:highlight w:val="none"/>
                <w:lang w:val="en-US" w:eastAsia="zh-CN"/>
              </w:rPr>
              <w:t>，每提供1份得1分，满分3分</w:t>
            </w:r>
            <w:r>
              <w:rPr>
                <w:rFonts w:hint="eastAsia" w:ascii="仿宋_GB2312" w:hAnsi="仿宋_GB2312" w:eastAsia="仿宋_GB2312" w:cs="仿宋_GB2312"/>
                <w:highlight w:val="none"/>
                <w:lang w:val="en-US" w:eastAsia="zh-Hans"/>
              </w:rPr>
              <w:t>。注：</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1</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须提供有效期内的认证证书扫描件</w:t>
            </w:r>
            <w:r>
              <w:rPr>
                <w:rFonts w:hint="eastAsia" w:ascii="仿宋_GB2312" w:hAnsi="仿宋_GB2312" w:eastAsia="仿宋_GB2312" w:cs="仿宋_GB2312"/>
                <w:highlight w:val="none"/>
                <w:lang w:val="en-US" w:eastAsia="zh-CN"/>
              </w:rPr>
              <w:t>（复印件）</w:t>
            </w:r>
            <w:r>
              <w:rPr>
                <w:rFonts w:hint="eastAsia" w:ascii="仿宋_GB2312" w:hAnsi="仿宋_GB2312" w:eastAsia="仿宋_GB2312" w:cs="仿宋_GB2312"/>
                <w:highlight w:val="none"/>
                <w:lang w:val="en-US" w:eastAsia="zh-Hans"/>
              </w:rPr>
              <w:t>并加盖投标人公章。</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2</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须提供投标截止时间前六个月</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不含投标截止时间的当月</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中任一月由投标人或投标人上级机构为其缴纳的社保证明材料复印件并加盖投标人公章。</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3</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不得与其他评分项的人员重复。未提供或提供不符合要求的对应人员不得分。</w:t>
            </w:r>
          </w:p>
        </w:tc>
      </w:tr>
      <w:tr w14:paraId="64592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2502559A">
            <w:pPr>
              <w:shd w:val="clear"/>
              <w:jc w:val="both"/>
              <w:rPr>
                <w:rFonts w:hint="eastAsia" w:ascii="仿宋" w:hAnsi="仿宋" w:eastAsia="仿宋" w:cs="仿宋"/>
                <w:highlight w:val="none"/>
                <w:lang w:val="en-US" w:eastAsia="zh-Hans"/>
              </w:rPr>
            </w:pPr>
            <w:r>
              <w:rPr>
                <w:rFonts w:hint="eastAsia" w:ascii="仿宋" w:hAnsi="仿宋" w:eastAsia="仿宋" w:cs="仿宋"/>
                <w:color w:val="auto"/>
                <w:sz w:val="20"/>
                <w:szCs w:val="20"/>
                <w:highlight w:val="none"/>
                <w:lang w:val="en-US" w:eastAsia="zh-Hans"/>
              </w:rPr>
              <w:t>技术负责人</w:t>
            </w:r>
          </w:p>
        </w:tc>
        <w:tc>
          <w:tcPr>
            <w:tcW w:w="831" w:type="dxa"/>
            <w:vAlign w:val="top"/>
          </w:tcPr>
          <w:p w14:paraId="73F1A0B3">
            <w:pPr>
              <w:shd w:val="clear"/>
              <w:jc w:val="right"/>
              <w:rPr>
                <w:rFonts w:hint="eastAsia" w:ascii="仿宋" w:hAnsi="仿宋" w:eastAsia="仿宋" w:cs="仿宋"/>
                <w:highlight w:val="none"/>
                <w:lang w:val="en-US" w:eastAsia="zh-Hans"/>
              </w:rPr>
            </w:pP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lang w:val="en-US" w:eastAsia="zh-Hans"/>
              </w:rPr>
              <w:t>.00</w:t>
            </w:r>
          </w:p>
        </w:tc>
        <w:tc>
          <w:tcPr>
            <w:tcW w:w="415" w:type="dxa"/>
            <w:vAlign w:val="top"/>
          </w:tcPr>
          <w:p w14:paraId="7E67A9EA">
            <w:pPr>
              <w:shd w:val="clear"/>
              <w:jc w:val="both"/>
              <w:rPr>
                <w:rFonts w:hint="eastAsia" w:ascii="仿宋" w:hAnsi="仿宋" w:eastAsia="仿宋" w:cs="仿宋"/>
                <w:highlight w:val="none"/>
                <w:lang w:val="en-US" w:eastAsia="zh-Hans"/>
              </w:rPr>
            </w:pPr>
            <w:r>
              <w:rPr>
                <w:rFonts w:hint="eastAsia" w:ascii="仿宋" w:hAnsi="仿宋" w:eastAsia="仿宋" w:cs="仿宋"/>
                <w:color w:val="auto"/>
                <w:sz w:val="20"/>
                <w:szCs w:val="20"/>
                <w:highlight w:val="none"/>
                <w:lang w:val="en-US" w:eastAsia="zh-Hans"/>
              </w:rPr>
              <w:t>是</w:t>
            </w:r>
          </w:p>
        </w:tc>
        <w:tc>
          <w:tcPr>
            <w:tcW w:w="3738" w:type="dxa"/>
            <w:vAlign w:val="top"/>
          </w:tcPr>
          <w:p w14:paraId="7A4A7455">
            <w:pPr>
              <w:shd w:val="clear"/>
              <w:jc w:val="both"/>
              <w:rPr>
                <w:rFonts w:hint="eastAsia" w:ascii="仿宋" w:hAnsi="仿宋" w:eastAsia="仿宋" w:cs="仿宋"/>
                <w:highlight w:val="none"/>
                <w:lang w:val="en-US" w:eastAsia="zh-Hans"/>
              </w:rPr>
            </w:pPr>
            <w:r>
              <w:rPr>
                <w:rFonts w:hint="eastAsia" w:ascii="仿宋_GB2312" w:hAnsi="仿宋_GB2312" w:eastAsia="仿宋_GB2312" w:cs="仿宋_GB2312"/>
                <w:highlight w:val="none"/>
                <w:lang w:val="en-US" w:eastAsia="zh-Hans"/>
              </w:rPr>
              <w:t>投标人针对本项目拟配备技术负责人1名（不得与</w:t>
            </w:r>
            <w:r>
              <w:rPr>
                <w:rFonts w:hint="eastAsia" w:ascii="仿宋_GB2312" w:hAnsi="仿宋_GB2312" w:eastAsia="仿宋_GB2312" w:cs="仿宋_GB2312"/>
                <w:highlight w:val="none"/>
                <w:lang w:val="en-US" w:eastAsia="zh-CN"/>
              </w:rPr>
              <w:t>项目经理、运维负责人</w:t>
            </w:r>
            <w:r>
              <w:rPr>
                <w:rFonts w:hint="eastAsia" w:ascii="仿宋_GB2312" w:hAnsi="仿宋_GB2312" w:eastAsia="仿宋_GB2312" w:cs="仿宋_GB2312"/>
                <w:highlight w:val="none"/>
                <w:lang w:val="en-US" w:eastAsia="zh-Hans"/>
              </w:rPr>
              <w:t>和飞行</w:t>
            </w:r>
            <w:r>
              <w:rPr>
                <w:rFonts w:hint="eastAsia" w:ascii="仿宋_GB2312" w:hAnsi="仿宋_GB2312" w:eastAsia="仿宋_GB2312" w:cs="仿宋_GB2312"/>
                <w:highlight w:val="none"/>
                <w:lang w:val="en-US" w:eastAsia="zh-CN"/>
              </w:rPr>
              <w:t>服务</w:t>
            </w:r>
            <w:r>
              <w:rPr>
                <w:rFonts w:hint="eastAsia" w:ascii="仿宋_GB2312" w:hAnsi="仿宋_GB2312" w:eastAsia="仿宋_GB2312" w:cs="仿宋_GB2312"/>
                <w:highlight w:val="none"/>
                <w:lang w:val="en-US" w:eastAsia="zh-Hans"/>
              </w:rPr>
              <w:t>人员为同一人），应具备以下证书：具备</w:t>
            </w:r>
            <w:r>
              <w:rPr>
                <w:rFonts w:hint="eastAsia" w:ascii="仿宋_GB2312" w:hAnsi="仿宋_GB2312" w:eastAsia="仿宋_GB2312" w:cs="仿宋_GB2312"/>
                <w:highlight w:val="none"/>
                <w:lang w:val="en-US" w:eastAsia="zh-CN"/>
              </w:rPr>
              <w:t>高级工程师、信息系统项目管理师、信息安全保障人员认证（CISAW，认证方向：风险管理（专业级）），每提供1份得1分，满分3分</w:t>
            </w:r>
            <w:r>
              <w:rPr>
                <w:rFonts w:hint="eastAsia" w:ascii="仿宋_GB2312" w:hAnsi="仿宋_GB2312" w:eastAsia="仿宋_GB2312" w:cs="仿宋_GB2312"/>
                <w:highlight w:val="none"/>
                <w:lang w:val="en-US" w:eastAsia="zh-Hans"/>
              </w:rPr>
              <w:t>。注：</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1</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须提供有效期内的认证证书扫描件</w:t>
            </w:r>
            <w:r>
              <w:rPr>
                <w:rFonts w:hint="eastAsia" w:ascii="仿宋_GB2312" w:hAnsi="仿宋_GB2312" w:eastAsia="仿宋_GB2312" w:cs="仿宋_GB2312"/>
                <w:highlight w:val="none"/>
                <w:lang w:val="en-US" w:eastAsia="zh-CN"/>
              </w:rPr>
              <w:t>（复印件）</w:t>
            </w:r>
            <w:r>
              <w:rPr>
                <w:rFonts w:hint="eastAsia" w:ascii="仿宋_GB2312" w:hAnsi="仿宋_GB2312" w:eastAsia="仿宋_GB2312" w:cs="仿宋_GB2312"/>
                <w:highlight w:val="none"/>
                <w:lang w:val="en-US" w:eastAsia="zh-Hans"/>
              </w:rPr>
              <w:t>并加盖投标人公章。</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2</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须提供投标截止时间前六个月</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不含投标截止时间的当月</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中任一月由投标人或投标人上级机构为其缴纳的社保证明材料复印件并加盖投标人公章。</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3</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不得与其他评分项的人员重复。未提供或提供不符合要求的对应人员不得分。</w:t>
            </w:r>
          </w:p>
        </w:tc>
      </w:tr>
      <w:tr w14:paraId="16745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D1B713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飞行服务人员</w:t>
            </w:r>
          </w:p>
        </w:tc>
        <w:tc>
          <w:tcPr>
            <w:tcW w:w="831" w:type="dxa"/>
          </w:tcPr>
          <w:p w14:paraId="411F70FD">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37E0988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65BD80FC">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投标人拟派本项目的飞行人员（不得与项目经理、运维负责人、技术负责人为同一人），每提供一名具有政府部门核发的民用无人驾驶航空器操控员（中型超视距）执照的得0.5分。满分3分。【 注：投标人须同时提供：①相关证书复印件；②投标截止时间前六个月（不含投标截止时间的当月）中任一月份投标人为其缴纳社保的证明材料，未按以上要求提供证明材料的不得分。】</w:t>
            </w:r>
          </w:p>
        </w:tc>
      </w:tr>
      <w:tr w14:paraId="2F19E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A5F01B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系统功能演示1</w:t>
            </w:r>
          </w:p>
        </w:tc>
        <w:tc>
          <w:tcPr>
            <w:tcW w:w="831" w:type="dxa"/>
          </w:tcPr>
          <w:p w14:paraId="7713D629">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5DB7A02A">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1953775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投标人的产品系统功能演示及讲解情况进行综合评分，本项需演示的以下功能：①设备远程控制、②用户注册及用户权限管理，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r w14:paraId="385EB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3E7519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系统功能演示2</w:t>
            </w:r>
          </w:p>
        </w:tc>
        <w:tc>
          <w:tcPr>
            <w:tcW w:w="831" w:type="dxa"/>
          </w:tcPr>
          <w:p w14:paraId="18A296EC">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73FDCB6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7D6CC6EF">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投标人的产品系统功能演示及讲解情况进行综合评分，本项需演示的以下功能：①航线规划、②航线选择及沿航线飞行，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r w14:paraId="680BF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A5F341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系统功能演示3</w:t>
            </w:r>
          </w:p>
        </w:tc>
        <w:tc>
          <w:tcPr>
            <w:tcW w:w="831" w:type="dxa"/>
          </w:tcPr>
          <w:p w14:paraId="5211673D">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3A780EB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15A98528">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投标人的产品系统功能演示及讲解情况进行综合评分，本项需演示的以下功能：①目标地点搜索、②位置选定及指点飞行，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r w14:paraId="304F6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A5CB5F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系统功能演示4</w:t>
            </w:r>
          </w:p>
        </w:tc>
        <w:tc>
          <w:tcPr>
            <w:tcW w:w="831" w:type="dxa"/>
          </w:tcPr>
          <w:p w14:paraId="2826C038">
            <w:pPr>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3.00</w:t>
            </w:r>
          </w:p>
        </w:tc>
        <w:tc>
          <w:tcPr>
            <w:tcW w:w="415" w:type="dxa"/>
          </w:tcPr>
          <w:p w14:paraId="19DE164D">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w:t>
            </w:r>
          </w:p>
        </w:tc>
        <w:tc>
          <w:tcPr>
            <w:tcW w:w="3738" w:type="dxa"/>
          </w:tcPr>
          <w:p w14:paraId="52F4A5D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投标人的产品系统功能演示及讲解情况进行综合评分，本项需演示的以下功能：①演示AR投影至实景模型/卫星底图上、②直观反应事件位置和周边环境、路况等救援条件信息，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bl>
    <w:p w14:paraId="315612CC">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商务项（F3×A3）满分为1</w:t>
      </w: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highlight w:val="none"/>
          <w:lang w:val="en-US" w:eastAsia="zh-Hans"/>
        </w:rPr>
        <w:t>.0000分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26"/>
        <w:gridCol w:w="3738"/>
      </w:tblGrid>
      <w:tr w14:paraId="44F56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9689F73">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w:t>
            </w:r>
          </w:p>
        </w:tc>
        <w:tc>
          <w:tcPr>
            <w:tcW w:w="831" w:type="dxa"/>
          </w:tcPr>
          <w:p w14:paraId="2C3163D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分值</w:t>
            </w:r>
          </w:p>
        </w:tc>
        <w:tc>
          <w:tcPr>
            <w:tcW w:w="416" w:type="dxa"/>
          </w:tcPr>
          <w:p w14:paraId="2F701274">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是否客观项</w:t>
            </w:r>
          </w:p>
        </w:tc>
        <w:tc>
          <w:tcPr>
            <w:tcW w:w="3738" w:type="dxa"/>
          </w:tcPr>
          <w:p w14:paraId="492105F7">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描述</w:t>
            </w:r>
          </w:p>
        </w:tc>
      </w:tr>
      <w:tr w14:paraId="18F64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3BC5A231">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业绩</w:t>
            </w:r>
          </w:p>
        </w:tc>
        <w:tc>
          <w:tcPr>
            <w:tcW w:w="831" w:type="dxa"/>
            <w:vAlign w:val="top"/>
          </w:tcPr>
          <w:p w14:paraId="18F77CDE">
            <w:pPr>
              <w:shd w:val="clear"/>
              <w:jc w:val="righ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2.00</w:t>
            </w:r>
          </w:p>
        </w:tc>
        <w:tc>
          <w:tcPr>
            <w:tcW w:w="416" w:type="dxa"/>
            <w:vAlign w:val="top"/>
          </w:tcPr>
          <w:p w14:paraId="4D5CEF60">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是</w:t>
            </w:r>
          </w:p>
        </w:tc>
        <w:tc>
          <w:tcPr>
            <w:tcW w:w="3738" w:type="dxa"/>
            <w:vAlign w:val="top"/>
          </w:tcPr>
          <w:p w14:paraId="7F26F06C">
            <w:pPr>
              <w:shd w:val="clear"/>
              <w:jc w:val="left"/>
              <w:rPr>
                <w:rFonts w:hint="eastAsia" w:ascii="仿宋" w:hAnsi="仿宋" w:eastAsia="仿宋" w:cs="仿宋"/>
                <w:highlight w:val="none"/>
                <w:lang w:val="en-US" w:eastAsia="zh-Hans"/>
              </w:rPr>
            </w:pPr>
            <w:r>
              <w:rPr>
                <w:rFonts w:hint="eastAsia" w:ascii="仿宋_GB2312" w:hAnsi="仿宋_GB2312" w:eastAsia="仿宋_GB2312" w:cs="仿宋_GB2312"/>
                <w:highlight w:val="none"/>
                <w:lang w:val="en-US" w:eastAsia="zh-Hans"/>
              </w:rPr>
              <w:t>根据投标人（或其上级机构）提供近</w:t>
            </w:r>
            <w:r>
              <w:rPr>
                <w:rFonts w:hint="eastAsia" w:ascii="仿宋_GB2312" w:hAnsi="仿宋_GB2312" w:eastAsia="仿宋_GB2312" w:cs="仿宋_GB2312"/>
                <w:highlight w:val="none"/>
                <w:lang w:val="en-US" w:eastAsia="zh-CN"/>
              </w:rPr>
              <w:t>三年</w:t>
            </w:r>
            <w:r>
              <w:rPr>
                <w:rFonts w:hint="eastAsia" w:ascii="仿宋_GB2312" w:hAnsi="仿宋_GB2312" w:eastAsia="仿宋_GB2312" w:cs="仿宋_GB2312"/>
                <w:highlight w:val="none"/>
                <w:lang w:val="en-US" w:eastAsia="zh-Hans"/>
              </w:rPr>
              <w:t>以来（以合同签订日为准）至本项目截标时间止，独立完成类似项目业绩的</w:t>
            </w:r>
            <w:r>
              <w:rPr>
                <w:rFonts w:hint="eastAsia" w:ascii="仿宋_GB2312" w:hAnsi="仿宋_GB2312" w:eastAsia="仿宋_GB2312" w:cs="仿宋_GB2312"/>
                <w:highlight w:val="none"/>
                <w:lang w:val="en-US" w:eastAsia="zh-CN"/>
              </w:rPr>
              <w:t>每提供一个</w:t>
            </w:r>
            <w:r>
              <w:rPr>
                <w:rFonts w:hint="eastAsia" w:ascii="仿宋_GB2312" w:hAnsi="仿宋_GB2312" w:eastAsia="仿宋_GB2312" w:cs="仿宋_GB2312"/>
                <w:highlight w:val="none"/>
                <w:lang w:val="en-US" w:eastAsia="zh-Hans"/>
              </w:rPr>
              <w:t>得1分，满分2分。供应商需提供该业绩项目以下资料有效复印件：①中标（成交）公告（提供相关网站中标（成交）公告的下载网页及其网址）；②中标（成交）通知书复印件； ③采购合同文本复印件；④能够证明该业绩项目已经采购人</w:t>
            </w:r>
            <w:r>
              <w:rPr>
                <w:rFonts w:hint="eastAsia" w:ascii="仿宋_GB2312" w:hAnsi="仿宋_GB2312" w:eastAsia="仿宋_GB2312" w:cs="仿宋_GB2312"/>
                <w:highlight w:val="none"/>
                <w:lang w:val="en-US" w:eastAsia="zh-CN"/>
              </w:rPr>
              <w:t>签章的</w:t>
            </w:r>
            <w:r>
              <w:rPr>
                <w:rFonts w:hint="eastAsia" w:ascii="仿宋_GB2312" w:hAnsi="仿宋_GB2312" w:eastAsia="仿宋_GB2312" w:cs="仿宋_GB2312"/>
                <w:highlight w:val="none"/>
                <w:lang w:val="en-US" w:eastAsia="zh-Hans"/>
              </w:rPr>
              <w:t>验收合格的相关证明文件复印件；备注：上述4项缺一不可，供应商如未按照以上要求提供该项目业绩完整资料的，</w:t>
            </w:r>
            <w:r>
              <w:rPr>
                <w:rFonts w:hint="eastAsia" w:ascii="仿宋_GB2312" w:hAnsi="仿宋_GB2312" w:eastAsia="仿宋_GB2312" w:cs="仿宋_GB2312"/>
                <w:highlight w:val="none"/>
                <w:lang w:val="en-US" w:eastAsia="zh-CN"/>
              </w:rPr>
              <w:t>本项不得分</w:t>
            </w:r>
            <w:r>
              <w:rPr>
                <w:rFonts w:hint="eastAsia" w:ascii="仿宋_GB2312" w:hAnsi="仿宋_GB2312" w:eastAsia="仿宋_GB2312" w:cs="仿宋_GB2312"/>
                <w:highlight w:val="none"/>
                <w:lang w:val="en-US" w:eastAsia="zh-Hans"/>
              </w:rPr>
              <w:t>。</w:t>
            </w:r>
          </w:p>
        </w:tc>
      </w:tr>
      <w:tr w14:paraId="4BA8A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239ED5C1">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综合实力1</w:t>
            </w:r>
          </w:p>
        </w:tc>
        <w:tc>
          <w:tcPr>
            <w:tcW w:w="831" w:type="dxa"/>
            <w:vAlign w:val="top"/>
          </w:tcPr>
          <w:p w14:paraId="2251D6D5">
            <w:pPr>
              <w:shd w:val="clear"/>
              <w:jc w:val="righ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CN"/>
              </w:rPr>
              <w:t>2</w:t>
            </w:r>
            <w:r>
              <w:rPr>
                <w:rFonts w:hint="eastAsia" w:ascii="仿宋" w:hAnsi="仿宋" w:eastAsia="仿宋" w:cs="仿宋"/>
                <w:sz w:val="20"/>
                <w:szCs w:val="20"/>
                <w:highlight w:val="none"/>
                <w:lang w:val="en-US" w:eastAsia="zh-Hans"/>
              </w:rPr>
              <w:t>.00</w:t>
            </w:r>
          </w:p>
        </w:tc>
        <w:tc>
          <w:tcPr>
            <w:tcW w:w="416" w:type="dxa"/>
            <w:vAlign w:val="top"/>
          </w:tcPr>
          <w:p w14:paraId="0E093681">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是</w:t>
            </w:r>
          </w:p>
        </w:tc>
        <w:tc>
          <w:tcPr>
            <w:tcW w:w="3738" w:type="dxa"/>
            <w:vAlign w:val="top"/>
          </w:tcPr>
          <w:p w14:paraId="187BBB2F">
            <w:pPr>
              <w:shd w:val="clear"/>
              <w:jc w:val="left"/>
              <w:rPr>
                <w:rFonts w:hint="eastAsia" w:ascii="仿宋" w:hAnsi="仿宋" w:eastAsia="仿宋" w:cs="仿宋"/>
                <w:highlight w:val="none"/>
                <w:lang w:val="en-US" w:eastAsia="zh-Hans"/>
              </w:rPr>
            </w:pPr>
            <w:r>
              <w:rPr>
                <w:rFonts w:hint="eastAsia" w:ascii="仿宋_GB2312" w:hAnsi="仿宋_GB2312" w:eastAsia="仿宋_GB2312" w:cs="仿宋_GB2312"/>
                <w:highlight w:val="none"/>
                <w:lang w:val="en-US" w:eastAsia="zh-CN"/>
              </w:rPr>
              <w:t>为保障项目数据安全，</w:t>
            </w:r>
            <w:r>
              <w:rPr>
                <w:rFonts w:hint="eastAsia" w:ascii="仿宋_GB2312" w:hAnsi="仿宋_GB2312" w:eastAsia="仿宋_GB2312" w:cs="仿宋_GB2312"/>
                <w:highlight w:val="none"/>
                <w:lang w:val="en-US" w:eastAsia="zh-Hans"/>
              </w:rPr>
              <w:t>投标人（或其上级机构）获得信息安全服务资质认证证书-信息安全应急处理服务认证证书</w:t>
            </w:r>
            <w:r>
              <w:rPr>
                <w:rFonts w:hint="eastAsia" w:ascii="仿宋_GB2312" w:hAnsi="仿宋_GB2312" w:eastAsia="仿宋_GB2312" w:cs="仿宋_GB2312"/>
                <w:highlight w:val="none"/>
                <w:lang w:val="en-US" w:eastAsia="zh-CN"/>
              </w:rPr>
              <w:t>一</w:t>
            </w:r>
            <w:r>
              <w:rPr>
                <w:rFonts w:hint="eastAsia" w:ascii="仿宋_GB2312" w:hAnsi="仿宋_GB2312" w:eastAsia="仿宋_GB2312" w:cs="仿宋_GB2312"/>
                <w:highlight w:val="none"/>
                <w:lang w:val="en-US" w:eastAsia="zh-Hans"/>
              </w:rPr>
              <w:t>级的得2分，</w:t>
            </w:r>
            <w:r>
              <w:rPr>
                <w:rFonts w:hint="eastAsia" w:ascii="仿宋_GB2312" w:hAnsi="仿宋_GB2312" w:eastAsia="仿宋_GB2312" w:cs="仿宋_GB2312"/>
                <w:highlight w:val="none"/>
                <w:lang w:val="en-US" w:eastAsia="zh-CN"/>
              </w:rPr>
              <w:t>二</w:t>
            </w:r>
            <w:r>
              <w:rPr>
                <w:rFonts w:hint="eastAsia" w:ascii="仿宋_GB2312" w:hAnsi="仿宋_GB2312" w:eastAsia="仿宋_GB2312" w:cs="仿宋_GB2312"/>
                <w:highlight w:val="none"/>
                <w:lang w:val="en-US" w:eastAsia="zh-Hans"/>
              </w:rPr>
              <w:t>级的得1分，未提供的不得分。（须提供相关认证证书复印件并加盖投标人公章）</w:t>
            </w:r>
          </w:p>
        </w:tc>
      </w:tr>
      <w:tr w14:paraId="1B44F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09EE3240">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综合实力2</w:t>
            </w:r>
          </w:p>
        </w:tc>
        <w:tc>
          <w:tcPr>
            <w:tcW w:w="831" w:type="dxa"/>
            <w:vAlign w:val="top"/>
          </w:tcPr>
          <w:p w14:paraId="0E83B525">
            <w:pPr>
              <w:shd w:val="clear"/>
              <w:jc w:val="righ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CN"/>
              </w:rPr>
              <w:t>3</w:t>
            </w:r>
            <w:r>
              <w:rPr>
                <w:rFonts w:hint="eastAsia" w:ascii="仿宋" w:hAnsi="仿宋" w:eastAsia="仿宋" w:cs="仿宋"/>
                <w:sz w:val="20"/>
                <w:szCs w:val="20"/>
                <w:highlight w:val="none"/>
                <w:lang w:val="en-US" w:eastAsia="zh-Hans"/>
              </w:rPr>
              <w:t>.00</w:t>
            </w:r>
          </w:p>
        </w:tc>
        <w:tc>
          <w:tcPr>
            <w:tcW w:w="416" w:type="dxa"/>
            <w:vAlign w:val="top"/>
          </w:tcPr>
          <w:p w14:paraId="70D8A0CA">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是</w:t>
            </w:r>
          </w:p>
        </w:tc>
        <w:tc>
          <w:tcPr>
            <w:tcW w:w="3738" w:type="dxa"/>
            <w:vAlign w:val="top"/>
          </w:tcPr>
          <w:p w14:paraId="102045A2">
            <w:pPr>
              <w:shd w:val="clear"/>
              <w:jc w:val="left"/>
              <w:rPr>
                <w:rFonts w:hint="eastAsia" w:ascii="仿宋" w:hAnsi="仿宋" w:eastAsia="仿宋" w:cs="仿宋"/>
                <w:highlight w:val="none"/>
                <w:lang w:val="en-US" w:eastAsia="zh-Hans"/>
              </w:rPr>
            </w:pPr>
            <w:r>
              <w:rPr>
                <w:rFonts w:hint="eastAsia" w:ascii="仿宋_GB2312" w:hAnsi="仿宋_GB2312" w:eastAsia="仿宋_GB2312" w:cs="仿宋_GB2312"/>
                <w:highlight w:val="none"/>
                <w:lang w:val="en-US" w:eastAsia="zh-CN"/>
              </w:rPr>
              <w:t>投标人</w:t>
            </w:r>
            <w:r>
              <w:rPr>
                <w:rFonts w:hint="eastAsia" w:ascii="仿宋_GB2312" w:hAnsi="仿宋_GB2312" w:eastAsia="仿宋_GB2312" w:cs="仿宋_GB2312"/>
                <w:highlight w:val="none"/>
                <w:lang w:val="en-US" w:eastAsia="zh-Hans"/>
              </w:rPr>
              <w:t>（或其上级机构）</w:t>
            </w:r>
            <w:r>
              <w:rPr>
                <w:rFonts w:hint="eastAsia" w:ascii="仿宋_GB2312" w:hAnsi="仿宋_GB2312" w:eastAsia="仿宋_GB2312" w:cs="仿宋_GB2312"/>
                <w:highlight w:val="none"/>
                <w:lang w:val="en-US" w:eastAsia="zh-CN"/>
              </w:rPr>
              <w:t>需具备低空（无人机）软件平台相关软件著作权的一项0.5分，满分3分。（需提供软件著作权证书复印件加盖投标人公章，未提供不得分）</w:t>
            </w:r>
          </w:p>
        </w:tc>
      </w:tr>
      <w:tr w14:paraId="2F2D60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1F4CA157">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综合实力3</w:t>
            </w:r>
          </w:p>
        </w:tc>
        <w:tc>
          <w:tcPr>
            <w:tcW w:w="831" w:type="dxa"/>
            <w:vAlign w:val="top"/>
          </w:tcPr>
          <w:p w14:paraId="751C921B">
            <w:pPr>
              <w:shd w:val="clear"/>
              <w:jc w:val="righ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CN"/>
              </w:rPr>
              <w:t>3</w:t>
            </w:r>
            <w:r>
              <w:rPr>
                <w:rFonts w:hint="eastAsia" w:ascii="仿宋" w:hAnsi="仿宋" w:eastAsia="仿宋" w:cs="仿宋"/>
                <w:sz w:val="20"/>
                <w:szCs w:val="20"/>
                <w:highlight w:val="none"/>
                <w:lang w:val="en-US" w:eastAsia="zh-Hans"/>
              </w:rPr>
              <w:t>.00</w:t>
            </w:r>
          </w:p>
        </w:tc>
        <w:tc>
          <w:tcPr>
            <w:tcW w:w="416" w:type="dxa"/>
            <w:vAlign w:val="top"/>
          </w:tcPr>
          <w:p w14:paraId="4BFF943B">
            <w:pPr>
              <w:shd w:val="clear"/>
              <w:jc w:val="left"/>
              <w:rPr>
                <w:rFonts w:hint="eastAsia" w:ascii="仿宋" w:hAnsi="仿宋" w:eastAsia="仿宋" w:cs="仿宋"/>
                <w:highlight w:val="none"/>
                <w:lang w:val="en-US" w:eastAsia="zh-Hans"/>
              </w:rPr>
            </w:pPr>
            <w:r>
              <w:rPr>
                <w:rFonts w:hint="eastAsia" w:ascii="仿宋" w:hAnsi="仿宋" w:eastAsia="仿宋" w:cs="仿宋"/>
                <w:sz w:val="20"/>
                <w:szCs w:val="20"/>
                <w:highlight w:val="none"/>
                <w:lang w:val="en-US" w:eastAsia="zh-Hans"/>
              </w:rPr>
              <w:t>是</w:t>
            </w:r>
          </w:p>
        </w:tc>
        <w:tc>
          <w:tcPr>
            <w:tcW w:w="3738" w:type="dxa"/>
            <w:vAlign w:val="top"/>
          </w:tcPr>
          <w:p w14:paraId="7AC1D451">
            <w:pPr>
              <w:shd w:val="clear"/>
              <w:jc w:val="left"/>
              <w:rPr>
                <w:rFonts w:hint="eastAsia" w:ascii="仿宋" w:hAnsi="仿宋" w:eastAsia="仿宋" w:cs="仿宋"/>
                <w:highlight w:val="none"/>
                <w:lang w:val="en-US" w:eastAsia="zh-Hans"/>
              </w:rPr>
            </w:pPr>
            <w:r>
              <w:rPr>
                <w:rFonts w:hint="eastAsia" w:ascii="仿宋_GB2312" w:hAnsi="仿宋_GB2312" w:eastAsia="仿宋_GB2312" w:cs="仿宋_GB2312"/>
                <w:highlight w:val="none"/>
                <w:lang w:val="en-US" w:eastAsia="zh-CN"/>
              </w:rPr>
              <w:t>投标人（或其上级机构）须提供2023年1月1日以来，由部队航管处出具的军区空域批复文件证明，提供1份合格空域证明材料得1分，满分3分。（需提供批复证书复印件加盖投标人公章，未提供不得分）</w:t>
            </w:r>
          </w:p>
        </w:tc>
      </w:tr>
      <w:tr w14:paraId="686BC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3A7D9C7">
            <w:pPr>
              <w:jc w:val="left"/>
              <w:rPr>
                <w:rFonts w:hint="eastAsia" w:ascii="仿宋" w:hAnsi="仿宋" w:eastAsia="仿宋" w:cs="仿宋"/>
                <w:highlight w:val="none"/>
                <w:lang w:val="en-US" w:eastAsia="zh-Hans"/>
              </w:rPr>
            </w:pPr>
            <w:r>
              <w:rPr>
                <w:rFonts w:hint="eastAsia" w:ascii="仿宋" w:hAnsi="仿宋" w:eastAsia="仿宋" w:cs="仿宋"/>
                <w:highlight w:val="none"/>
                <w:lang w:val="en-US" w:eastAsia="zh-Hans"/>
              </w:rPr>
              <w:t>服务便捷性</w:t>
            </w:r>
          </w:p>
        </w:tc>
        <w:tc>
          <w:tcPr>
            <w:tcW w:w="831" w:type="dxa"/>
          </w:tcPr>
          <w:p w14:paraId="7A832741">
            <w:pPr>
              <w:jc w:val="right"/>
              <w:rPr>
                <w:rFonts w:hint="eastAsia" w:ascii="仿宋" w:hAnsi="仿宋" w:eastAsia="仿宋" w:cs="仿宋"/>
                <w:highlight w:val="none"/>
                <w:lang w:val="en-US" w:eastAsia="zh-Hans"/>
              </w:rPr>
            </w:pPr>
            <w:r>
              <w:rPr>
                <w:rFonts w:hint="eastAsia" w:ascii="仿宋" w:hAnsi="仿宋" w:eastAsia="仿宋" w:cs="仿宋"/>
                <w:highlight w:val="none"/>
                <w:lang w:val="en-US" w:eastAsia="zh-Hans"/>
              </w:rPr>
              <w:t>3.00</w:t>
            </w:r>
          </w:p>
        </w:tc>
        <w:tc>
          <w:tcPr>
            <w:tcW w:w="416" w:type="dxa"/>
          </w:tcPr>
          <w:p w14:paraId="38611B69">
            <w:pPr>
              <w:jc w:val="left"/>
              <w:rPr>
                <w:rFonts w:hint="eastAsia" w:ascii="仿宋" w:hAnsi="仿宋" w:eastAsia="仿宋" w:cs="仿宋"/>
                <w:highlight w:val="none"/>
                <w:lang w:val="en-US" w:eastAsia="zh-Hans"/>
              </w:rPr>
            </w:pPr>
            <w:r>
              <w:rPr>
                <w:rFonts w:hint="eastAsia" w:ascii="仿宋" w:hAnsi="仿宋" w:eastAsia="仿宋" w:cs="仿宋"/>
                <w:highlight w:val="none"/>
                <w:lang w:val="en-US" w:eastAsia="zh-Hans"/>
              </w:rPr>
              <w:t>是</w:t>
            </w:r>
          </w:p>
        </w:tc>
        <w:tc>
          <w:tcPr>
            <w:tcW w:w="3738" w:type="dxa"/>
          </w:tcPr>
          <w:p w14:paraId="49E8DA77">
            <w:pPr>
              <w:jc w:val="left"/>
              <w:rPr>
                <w:rFonts w:hint="eastAsia" w:ascii="仿宋" w:hAnsi="仿宋" w:eastAsia="仿宋" w:cs="仿宋"/>
                <w:highlight w:val="none"/>
                <w:lang w:val="en-US" w:eastAsia="zh-Hans"/>
              </w:rPr>
            </w:pPr>
            <w:r>
              <w:rPr>
                <w:rFonts w:hint="eastAsia" w:ascii="仿宋_GB2312" w:hAnsi="仿宋_GB2312" w:eastAsia="仿宋_GB2312" w:cs="仿宋_GB2312"/>
                <w:highlight w:val="none"/>
                <w:lang w:val="en-US" w:eastAsia="zh-Hans"/>
              </w:rPr>
              <w:t>为了保证项目服务的便捷性和稳定性，投标人承诺在接到采购人通知在2小时内</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含2小时）到达采购人所在地的得3分，接到采购人通知在2（不含）-4（含）小时内到达采购人所在地的得2分，接到采购人通知在4（不含）-6（含）小时内到达采购人所在地的得1分，其余不得分。（需提供专项承诺函，格式自拟，未提供的不得分。）</w:t>
            </w:r>
          </w:p>
        </w:tc>
      </w:tr>
    </w:tbl>
    <w:p w14:paraId="7754D5A6">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0447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523AF7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w:t>
            </w:r>
          </w:p>
        </w:tc>
        <w:tc>
          <w:tcPr>
            <w:tcW w:w="4153" w:type="dxa"/>
          </w:tcPr>
          <w:p w14:paraId="3E694FC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描述</w:t>
            </w:r>
          </w:p>
        </w:tc>
      </w:tr>
      <w:tr w14:paraId="68525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F9E06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异常低价审查</w:t>
            </w:r>
          </w:p>
        </w:tc>
        <w:tc>
          <w:tcPr>
            <w:tcW w:w="4153" w:type="dxa"/>
          </w:tcPr>
          <w:p w14:paraId="444EED5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根据《关于推动解决政府采购异常低价问题的通知》（财库〔2026〕2号）等相关规定，政府采购评审中出现下列情形之一的，评审委员会应当启动异常低价投标（响应）审查程序： （1）</w:t>
            </w:r>
            <w:r>
              <w:rPr>
                <w:rFonts w:hint="eastAsia" w:ascii="仿宋_GB2312" w:hAnsi="仿宋_GB2312" w:eastAsia="仿宋_GB2312" w:cs="仿宋_GB2312"/>
                <w:highlight w:val="none"/>
                <w:lang w:val="en-US" w:eastAsia="zh-CN"/>
              </w:rPr>
              <w:t>尤溪县无人机空地一体体系建设项目</w:t>
            </w:r>
            <w:r>
              <w:rPr>
                <w:rFonts w:hint="eastAsia" w:ascii="仿宋_GB2312" w:hAnsi="仿宋_GB2312" w:eastAsia="仿宋_GB2312" w:cs="仿宋_GB2312"/>
                <w:highlight w:val="none"/>
                <w:lang w:val="en-US" w:eastAsia="zh-Hans"/>
              </w:rPr>
              <w:t>响应报价低于全部通过符合性审查供应商响应报价平均值50%的，即</w:t>
            </w:r>
            <w:r>
              <w:rPr>
                <w:rFonts w:hint="eastAsia" w:ascii="仿宋_GB2312" w:hAnsi="仿宋_GB2312" w:eastAsia="仿宋_GB2312" w:cs="仿宋_GB2312"/>
                <w:highlight w:val="none"/>
                <w:lang w:val="en-US" w:eastAsia="zh-CN"/>
              </w:rPr>
              <w:t>尤溪县无人机空地一体体系建设项目</w:t>
            </w:r>
            <w:r>
              <w:rPr>
                <w:rFonts w:hint="eastAsia" w:ascii="仿宋_GB2312" w:hAnsi="仿宋_GB2312" w:eastAsia="仿宋_GB2312" w:cs="仿宋_GB2312"/>
                <w:highlight w:val="none"/>
                <w:lang w:val="en-US" w:eastAsia="zh-Hans"/>
              </w:rPr>
              <w:t>响应报价&lt;全部通过符合性审查供应商响应报价平均值×50%。 （2）</w:t>
            </w:r>
            <w:r>
              <w:rPr>
                <w:rFonts w:hint="eastAsia" w:ascii="仿宋_GB2312" w:hAnsi="仿宋_GB2312" w:eastAsia="仿宋_GB2312" w:cs="仿宋_GB2312"/>
                <w:highlight w:val="none"/>
                <w:lang w:val="en-US" w:eastAsia="zh-CN"/>
              </w:rPr>
              <w:t>尤溪县无人机空地一体体系建设项目</w:t>
            </w:r>
            <w:r>
              <w:rPr>
                <w:rFonts w:hint="eastAsia" w:ascii="仿宋_GB2312" w:hAnsi="仿宋_GB2312" w:eastAsia="仿宋_GB2312" w:cs="仿宋_GB2312"/>
                <w:highlight w:val="none"/>
                <w:lang w:val="en-US" w:eastAsia="zh-Hans"/>
              </w:rPr>
              <w:t>响应报价低于通过符合性审查且报价次低供应商响应报价50%的，即</w:t>
            </w:r>
            <w:r>
              <w:rPr>
                <w:rFonts w:hint="eastAsia" w:ascii="仿宋_GB2312" w:hAnsi="仿宋_GB2312" w:eastAsia="仿宋_GB2312" w:cs="仿宋_GB2312"/>
                <w:highlight w:val="none"/>
                <w:lang w:val="en-US" w:eastAsia="zh-CN"/>
              </w:rPr>
              <w:t>尤溪县无人机空地一体体系建设项目</w:t>
            </w:r>
            <w:r>
              <w:rPr>
                <w:rFonts w:hint="eastAsia" w:ascii="仿宋_GB2312" w:hAnsi="仿宋_GB2312" w:eastAsia="仿宋_GB2312" w:cs="仿宋_GB2312"/>
                <w:highlight w:val="none"/>
                <w:lang w:val="en-US" w:eastAsia="zh-Hans"/>
              </w:rPr>
              <w:t>响应报价&lt;通过符合性审查且报价次低供应商响应报价×50%。 （3）</w:t>
            </w:r>
            <w:r>
              <w:rPr>
                <w:rFonts w:hint="eastAsia" w:ascii="仿宋_GB2312" w:hAnsi="仿宋_GB2312" w:eastAsia="仿宋_GB2312" w:cs="仿宋_GB2312"/>
                <w:highlight w:val="none"/>
                <w:lang w:val="en-US" w:eastAsia="zh-CN"/>
              </w:rPr>
              <w:t>尤溪县无人机空地一体体系建设项目</w:t>
            </w:r>
            <w:r>
              <w:rPr>
                <w:rFonts w:hint="eastAsia" w:ascii="仿宋_GB2312" w:hAnsi="仿宋_GB2312" w:eastAsia="仿宋_GB2312" w:cs="仿宋_GB2312"/>
                <w:highlight w:val="none"/>
                <w:lang w:val="en-US" w:eastAsia="zh-Hans"/>
              </w:rPr>
              <w:t>响应报价低于最高限价45%的，即</w:t>
            </w:r>
            <w:r>
              <w:rPr>
                <w:rFonts w:hint="eastAsia" w:ascii="仿宋_GB2312" w:hAnsi="仿宋_GB2312" w:eastAsia="仿宋_GB2312" w:cs="仿宋_GB2312"/>
                <w:highlight w:val="none"/>
                <w:lang w:val="en-US" w:eastAsia="zh-CN"/>
              </w:rPr>
              <w:t>尤溪县无人机空地一体体系建设项目</w:t>
            </w:r>
            <w:r>
              <w:rPr>
                <w:rFonts w:hint="eastAsia" w:ascii="仿宋_GB2312" w:hAnsi="仿宋_GB2312" w:eastAsia="仿宋_GB2312" w:cs="仿宋_GB2312"/>
                <w:highlight w:val="none"/>
                <w:lang w:val="en-US" w:eastAsia="zh-Hans"/>
              </w:rPr>
              <w:t>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03CDD7A">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EDD04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4077CC2">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E96B580">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异常低价投标（响应）审查的启动原因、审查意见和审查结果应当在评审报告中记录，并随供应商提供的相关书面说明及证明材料，以及评审委员会有关互联网浏览、查询历史一并归档。</w:t>
      </w:r>
    </w:p>
    <w:p w14:paraId="34B1D52E">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※除本章第6.3条第（3）款规定情形和落实政府采购政策需进行的价格扣除情形外，不能对投标人的投标报价进行任何调整。</w:t>
      </w:r>
    </w:p>
    <w:p w14:paraId="0656CF9D">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（3）中标候选人排列规则顺序如下：</w:t>
      </w:r>
    </w:p>
    <w:p w14:paraId="7A157809">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a.按照评标总得分（FA）由高到低顺序排列。</w:t>
      </w:r>
    </w:p>
    <w:p w14:paraId="5F96F48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b.评标总得分（FA）相同的，按照评标价（即价格扣除后的投标报价）由低到高顺序排列。</w:t>
      </w:r>
    </w:p>
    <w:p w14:paraId="4DBDB1E1">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c.评标总得分（FA）且评标价（即价格扣除后的投标报价）相同的并列。</w:t>
      </w:r>
    </w:p>
    <w:p w14:paraId="3D35393F">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8、其他规定</w:t>
      </w:r>
    </w:p>
    <w:p w14:paraId="799F6E1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8.1评标应全程保密且不得透露给任一投标人或与评标工作无关的人员。</w:t>
      </w:r>
    </w:p>
    <w:p w14:paraId="1F633654">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8.2评标将进行全程实时录音录像，录音录像资料随采购文件一并存档。</w:t>
      </w:r>
    </w:p>
    <w:p w14:paraId="0DC5F41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8.3若投标人有任何试图干扰具体评标事务，影响评标委员会独立履行职责的行为，其投标无效且不予退还投标保证金或通过投标保函进行索赔。情节严重的，由财政部门列入不良行为记录。</w:t>
      </w:r>
    </w:p>
    <w:p w14:paraId="78F666E1">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8.4其他：</w:t>
      </w:r>
    </w:p>
    <w:p w14:paraId="3122F758">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w:t>
      </w:r>
    </w:p>
    <w:p w14:paraId="4B23B423">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14BA8053">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第五章 招标内容及要求</w:t>
      </w:r>
    </w:p>
    <w:p w14:paraId="1987750E">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一、项目概况（采购标的）</w:t>
      </w:r>
    </w:p>
    <w:p w14:paraId="679E472B">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1、项目基本情况：</w:t>
      </w:r>
    </w:p>
    <w:p w14:paraId="59D7E73D">
      <w:pPr>
        <w:ind w:firstLine="400"/>
        <w:jc w:val="both"/>
        <w:rPr>
          <w:rFonts w:hint="eastAsia" w:ascii="仿宋_GB2312" w:hAnsi="仿宋_GB2312" w:eastAsia="仿宋_GB2312" w:cs="仿宋_GB2312"/>
          <w:color w:val="000000"/>
          <w:sz w:val="20"/>
          <w:highlight w:val="none"/>
          <w:lang w:val="en-US" w:eastAsia="zh-CN"/>
        </w:rPr>
      </w:pPr>
      <w:r>
        <w:rPr>
          <w:rFonts w:hint="eastAsia" w:ascii="仿宋_GB2312" w:hAnsi="仿宋_GB2312" w:eastAsia="仿宋_GB2312" w:cs="仿宋_GB2312"/>
          <w:color w:val="000000"/>
          <w:sz w:val="20"/>
          <w:highlight w:val="none"/>
          <w:lang w:val="en-US" w:eastAsia="zh-CN"/>
        </w:rPr>
        <w:t>在三明市尤溪县域范围内部署建设18个智能无人机机库，配备自动机库18套、无人机18套、机载云台18套、喊话器18套、载机电池18套、气象监测站18套、远程调度平台1套；建立智能机库的无人机空地一体远程调度巡查系统，主要采用无线自组网、视觉导航、远程测控、GIS地理信息技术、设备自动化技术等多种软硬件高新技术，广泛运用于应急、消防、林业、水利、生态环境、住建、交通、城市管理等领域，形成近60个具体的应用场景，构建“7×24小时”空中巡检矩阵。</w:t>
      </w:r>
    </w:p>
    <w:p w14:paraId="63AC3BD2">
      <w:pPr>
        <w:ind w:firstLine="418"/>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2、标的信息：</w:t>
      </w:r>
    </w:p>
    <w:p w14:paraId="0EE8704C">
      <w:pPr>
        <w:ind w:firstLine="418"/>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服务内容及范围：本服务项目以空中AI巡查与应急作战无人机系统作为服务支撑系统，服务内容为无人机常态化巡查（分为周度综合巡查、森防期巡查、专项周期巡查、基础计划架次、应急与按需调度等），常态化巡查服务范围覆盖包括</w:t>
      </w:r>
      <w:r>
        <w:rPr>
          <w:rFonts w:hint="eastAsia" w:ascii="仿宋_GB2312" w:hAnsi="仿宋_GB2312" w:eastAsia="仿宋_GB2312" w:cs="仿宋_GB2312"/>
          <w:color w:val="000000"/>
          <w:sz w:val="20"/>
          <w:highlight w:val="none"/>
          <w:lang w:val="en-US" w:eastAsia="zh-CN"/>
        </w:rPr>
        <w:t>18</w:t>
      </w:r>
      <w:r>
        <w:rPr>
          <w:rFonts w:hint="eastAsia" w:ascii="仿宋_GB2312" w:hAnsi="仿宋_GB2312" w:eastAsia="仿宋_GB2312" w:cs="仿宋_GB2312"/>
          <w:color w:val="000000"/>
          <w:sz w:val="20"/>
          <w:highlight w:val="none"/>
          <w:lang w:val="en-US" w:eastAsia="zh-Hans"/>
        </w:rPr>
        <w:t>套智能机库覆盖面积。</w:t>
      </w:r>
    </w:p>
    <w:p w14:paraId="005EDEA2">
      <w:pPr>
        <w:ind w:firstLine="418"/>
        <w:jc w:val="both"/>
        <w:rPr>
          <w:rFonts w:hint="eastAsia" w:ascii="Calibri" w:hAnsi="Calibri" w:eastAsia="宋体" w:cs="Times New Roman"/>
          <w:color w:val="auto"/>
          <w:highlight w:val="none"/>
          <w:lang w:val="en-US" w:eastAsia="zh-Hans"/>
        </w:rPr>
      </w:pPr>
      <w:r>
        <w:rPr>
          <w:rFonts w:hint="eastAsia" w:ascii="仿宋_GB2312" w:hAnsi="仿宋_GB2312" w:eastAsia="仿宋_GB2312" w:cs="仿宋_GB2312"/>
          <w:color w:val="auto"/>
          <w:sz w:val="20"/>
          <w:highlight w:val="none"/>
          <w:lang w:val="en-US" w:eastAsia="zh-Hans"/>
        </w:rPr>
        <w:t>3、服务期限：</w:t>
      </w:r>
    </w:p>
    <w:p w14:paraId="41D09114">
      <w:pPr>
        <w:ind w:firstLine="418"/>
        <w:jc w:val="both"/>
        <w:rPr>
          <w:rFonts w:hint="eastAsia" w:ascii="Calibri" w:hAnsi="Calibri" w:eastAsia="宋体" w:cs="Times New Roman"/>
          <w:color w:val="auto"/>
          <w:highlight w:val="none"/>
          <w:lang w:val="en-US" w:eastAsia="zh-Hans"/>
        </w:rPr>
      </w:pPr>
      <w:r>
        <w:rPr>
          <w:rFonts w:hint="eastAsia" w:ascii="仿宋_GB2312" w:hAnsi="仿宋_GB2312" w:eastAsia="仿宋_GB2312" w:cs="仿宋_GB2312"/>
          <w:color w:val="auto"/>
          <w:sz w:val="20"/>
          <w:highlight w:val="none"/>
          <w:shd w:val="clear" w:fill="FFFFFF"/>
          <w:lang w:val="en-US" w:eastAsia="zh-Hans"/>
        </w:rPr>
        <w:t>本项目合计</w:t>
      </w:r>
      <w:r>
        <w:rPr>
          <w:rFonts w:hint="eastAsia" w:ascii="仿宋_GB2312" w:hAnsi="仿宋_GB2312" w:eastAsia="仿宋_GB2312" w:cs="仿宋_GB2312"/>
          <w:color w:val="auto"/>
          <w:sz w:val="20"/>
          <w:highlight w:val="none"/>
          <w:shd w:val="clear" w:fill="FFFFFF"/>
          <w:lang w:val="en-US" w:eastAsia="zh-CN"/>
        </w:rPr>
        <w:t>3</w:t>
      </w:r>
      <w:r>
        <w:rPr>
          <w:rFonts w:hint="eastAsia" w:ascii="仿宋_GB2312" w:hAnsi="仿宋_GB2312" w:eastAsia="仿宋_GB2312" w:cs="仿宋_GB2312"/>
          <w:color w:val="auto"/>
          <w:sz w:val="20"/>
          <w:highlight w:val="none"/>
          <w:shd w:val="clear" w:fill="FFFFFF"/>
          <w:lang w:val="en-US" w:eastAsia="zh-Hans"/>
        </w:rPr>
        <w:t>年服务期，每年服务费用</w:t>
      </w:r>
      <w:r>
        <w:rPr>
          <w:rFonts w:hint="eastAsia" w:ascii="仿宋_GB2312" w:hAnsi="仿宋_GB2312" w:eastAsia="仿宋_GB2312" w:cs="仿宋_GB2312"/>
          <w:color w:val="auto"/>
          <w:sz w:val="20"/>
          <w:highlight w:val="none"/>
          <w:shd w:val="clear" w:fill="FFFFFF"/>
          <w:lang w:val="en-US" w:eastAsia="zh-CN"/>
        </w:rPr>
        <w:t>5925960元，</w:t>
      </w:r>
      <w:r>
        <w:rPr>
          <w:rFonts w:hint="eastAsia" w:ascii="仿宋_GB2312" w:hAnsi="仿宋_GB2312" w:eastAsia="仿宋_GB2312" w:cs="仿宋_GB2312"/>
          <w:color w:val="auto"/>
          <w:sz w:val="20"/>
          <w:highlight w:val="none"/>
          <w:shd w:val="clear" w:fill="FFFFFF"/>
          <w:lang w:val="en-US" w:eastAsia="zh-Hans"/>
        </w:rPr>
        <w:t>投标报价超过人民币</w:t>
      </w:r>
      <w:r>
        <w:rPr>
          <w:rFonts w:hint="eastAsia" w:ascii="仿宋_GB2312" w:hAnsi="仿宋_GB2312" w:eastAsia="仿宋_GB2312" w:cs="仿宋_GB2312"/>
          <w:color w:val="auto"/>
          <w:sz w:val="20"/>
          <w:highlight w:val="none"/>
          <w:shd w:val="clear" w:fill="FFFFFF"/>
          <w:lang w:val="en-US" w:eastAsia="zh-CN"/>
        </w:rPr>
        <w:t>17777880</w:t>
      </w:r>
      <w:r>
        <w:rPr>
          <w:rFonts w:hint="eastAsia" w:ascii="仿宋_GB2312" w:hAnsi="仿宋_GB2312" w:eastAsia="仿宋_GB2312" w:cs="仿宋_GB2312"/>
          <w:color w:val="auto"/>
          <w:sz w:val="20"/>
          <w:highlight w:val="none"/>
          <w:shd w:val="clear" w:fill="FFFFFF"/>
          <w:lang w:val="en-US" w:eastAsia="zh-Hans"/>
        </w:rPr>
        <w:t>元的按无效标处理。</w:t>
      </w:r>
    </w:p>
    <w:p w14:paraId="4180483A">
      <w:pPr>
        <w:ind w:firstLine="418"/>
        <w:jc w:val="both"/>
        <w:rPr>
          <w:rFonts w:hint="eastAsia" w:ascii="Calibri" w:hAnsi="Calibri" w:eastAsia="宋体" w:cs="Times New Roman"/>
          <w:color w:val="auto"/>
          <w:highlight w:val="none"/>
          <w:lang w:val="en-US" w:eastAsia="zh-Hans"/>
        </w:rPr>
      </w:pPr>
      <w:r>
        <w:rPr>
          <w:rFonts w:hint="eastAsia" w:ascii="仿宋_GB2312" w:hAnsi="仿宋_GB2312" w:eastAsia="仿宋_GB2312" w:cs="仿宋_GB2312"/>
          <w:color w:val="auto"/>
          <w:sz w:val="20"/>
          <w:highlight w:val="none"/>
          <w:lang w:val="en-US" w:eastAsia="zh-Hans"/>
        </w:rPr>
        <w:t>4、控制价：本服务项目实行双项控制价，即</w:t>
      </w:r>
      <w:r>
        <w:rPr>
          <w:rFonts w:hint="eastAsia" w:ascii="仿宋_GB2312" w:hAnsi="仿宋_GB2312" w:eastAsia="仿宋_GB2312" w:cs="仿宋_GB2312"/>
          <w:color w:val="auto"/>
          <w:sz w:val="20"/>
          <w:highlight w:val="none"/>
          <w:lang w:val="en-US" w:eastAsia="zh-CN"/>
        </w:rPr>
        <w:t>3</w:t>
      </w:r>
      <w:r>
        <w:rPr>
          <w:rFonts w:hint="eastAsia" w:ascii="仿宋_GB2312" w:hAnsi="仿宋_GB2312" w:eastAsia="仿宋_GB2312" w:cs="仿宋_GB2312"/>
          <w:color w:val="auto"/>
          <w:sz w:val="20"/>
          <w:highlight w:val="none"/>
          <w:lang w:val="en-US" w:eastAsia="zh-Hans"/>
        </w:rPr>
        <w:t>年服务期的服务最高总价及单次飞行架次最高单价。</w:t>
      </w:r>
    </w:p>
    <w:p w14:paraId="5C826EBA">
      <w:pPr>
        <w:ind w:firstLine="418"/>
        <w:jc w:val="both"/>
        <w:rPr>
          <w:rFonts w:hint="eastAsia" w:ascii="Calibri" w:hAnsi="Calibri" w:eastAsia="宋体" w:cs="Times New Roman"/>
          <w:color w:val="auto"/>
          <w:highlight w:val="none"/>
          <w:lang w:val="en-US" w:eastAsia="zh-Hans"/>
        </w:rPr>
      </w:pPr>
      <w:r>
        <w:rPr>
          <w:rFonts w:hint="eastAsia" w:ascii="仿宋_GB2312" w:hAnsi="仿宋_GB2312" w:eastAsia="仿宋_GB2312" w:cs="仿宋_GB2312"/>
          <w:color w:val="auto"/>
          <w:sz w:val="20"/>
          <w:highlight w:val="none"/>
          <w:lang w:val="en-US" w:eastAsia="zh-Hans"/>
        </w:rPr>
        <w:t>4.1本项目</w:t>
      </w:r>
      <w:r>
        <w:rPr>
          <w:rFonts w:hint="eastAsia" w:ascii="仿宋_GB2312" w:hAnsi="仿宋_GB2312" w:eastAsia="仿宋_GB2312" w:cs="仿宋_GB2312"/>
          <w:color w:val="auto"/>
          <w:sz w:val="20"/>
          <w:highlight w:val="none"/>
          <w:lang w:val="en-US" w:eastAsia="zh-CN"/>
        </w:rPr>
        <w:t>3</w:t>
      </w:r>
      <w:r>
        <w:rPr>
          <w:rFonts w:hint="eastAsia" w:ascii="仿宋_GB2312" w:hAnsi="仿宋_GB2312" w:eastAsia="仿宋_GB2312" w:cs="仿宋_GB2312"/>
          <w:color w:val="auto"/>
          <w:sz w:val="20"/>
          <w:highlight w:val="none"/>
          <w:lang w:val="en-US" w:eastAsia="zh-Hans"/>
        </w:rPr>
        <w:t>年服务期的最高限价</w:t>
      </w:r>
      <w:r>
        <w:rPr>
          <w:rFonts w:hint="eastAsia" w:ascii="仿宋_GB2312" w:hAnsi="仿宋_GB2312" w:eastAsia="仿宋_GB2312" w:cs="仿宋_GB2312"/>
          <w:color w:val="auto"/>
          <w:sz w:val="20"/>
          <w:highlight w:val="none"/>
          <w:shd w:val="clear" w:fill="FFFFFF"/>
          <w:lang w:val="en-US" w:eastAsia="zh-CN"/>
        </w:rPr>
        <w:t>17777880</w:t>
      </w:r>
      <w:r>
        <w:rPr>
          <w:rFonts w:hint="eastAsia" w:ascii="仿宋_GB2312" w:hAnsi="仿宋_GB2312" w:eastAsia="仿宋_GB2312" w:cs="仿宋_GB2312"/>
          <w:color w:val="auto"/>
          <w:sz w:val="20"/>
          <w:highlight w:val="none"/>
          <w:lang w:val="en-US" w:eastAsia="zh-Hans"/>
        </w:rPr>
        <w:t>元，具体组成如下：</w:t>
      </w:r>
    </w:p>
    <w:tbl>
      <w:tblPr>
        <w:tblStyle w:val="2"/>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277"/>
        <w:gridCol w:w="1268"/>
        <w:gridCol w:w="1513"/>
        <w:gridCol w:w="1091"/>
        <w:gridCol w:w="1578"/>
        <w:gridCol w:w="1785"/>
      </w:tblGrid>
      <w:tr w14:paraId="7178C9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27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808FC4D">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标的名称</w:t>
            </w:r>
          </w:p>
        </w:tc>
        <w:tc>
          <w:tcPr>
            <w:tcW w:w="12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C725376">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单套年最低服务架次</w:t>
            </w:r>
          </w:p>
        </w:tc>
        <w:tc>
          <w:tcPr>
            <w:tcW w:w="15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23D3B34">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最高限制单价</w:t>
            </w:r>
          </w:p>
        </w:tc>
        <w:tc>
          <w:tcPr>
            <w:tcW w:w="109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1A437B3">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部署套数</w:t>
            </w:r>
          </w:p>
        </w:tc>
        <w:tc>
          <w:tcPr>
            <w:tcW w:w="15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520B4AC">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服务期限</w:t>
            </w:r>
            <w:r>
              <w:rPr>
                <w:rFonts w:hint="eastAsia" w:ascii="仿宋_GB2312" w:hAnsi="仿宋_GB2312" w:eastAsia="仿宋_GB2312" w:cs="仿宋_GB2312"/>
                <w:color w:val="auto"/>
                <w:sz w:val="20"/>
                <w:highlight w:val="none"/>
                <w:lang w:val="en-US" w:eastAsia="zh-CN"/>
              </w:rPr>
              <w:t>（</w:t>
            </w:r>
            <w:r>
              <w:rPr>
                <w:rFonts w:hint="eastAsia" w:ascii="仿宋_GB2312" w:hAnsi="仿宋_GB2312" w:eastAsia="仿宋_GB2312" w:cs="仿宋_GB2312"/>
                <w:color w:val="auto"/>
                <w:sz w:val="20"/>
                <w:highlight w:val="none"/>
                <w:lang w:val="en-US" w:eastAsia="zh-Hans"/>
              </w:rPr>
              <w:t>年）</w:t>
            </w:r>
          </w:p>
        </w:tc>
        <w:tc>
          <w:tcPr>
            <w:tcW w:w="178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0086E43">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小计（万元）</w:t>
            </w:r>
          </w:p>
        </w:tc>
      </w:tr>
      <w:tr w14:paraId="433543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27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5349D4C">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尤溪县无人机空地一体体系建设项目</w:t>
            </w:r>
          </w:p>
        </w:tc>
        <w:tc>
          <w:tcPr>
            <w:tcW w:w="12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909DC92">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CN"/>
              </w:rPr>
              <w:t>1180</w:t>
            </w:r>
            <w:r>
              <w:rPr>
                <w:rFonts w:hint="eastAsia" w:ascii="仿宋_GB2312" w:hAnsi="仿宋_GB2312" w:eastAsia="仿宋_GB2312" w:cs="仿宋_GB2312"/>
                <w:color w:val="auto"/>
                <w:sz w:val="20"/>
                <w:highlight w:val="none"/>
                <w:lang w:val="en-US" w:eastAsia="zh-Hans"/>
              </w:rPr>
              <w:t>/架次</w:t>
            </w:r>
          </w:p>
        </w:tc>
        <w:tc>
          <w:tcPr>
            <w:tcW w:w="15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3347942">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Hans"/>
              </w:rPr>
              <w:t>2</w:t>
            </w:r>
            <w:r>
              <w:rPr>
                <w:rFonts w:hint="eastAsia" w:ascii="仿宋_GB2312" w:hAnsi="仿宋_GB2312" w:eastAsia="仿宋_GB2312" w:cs="仿宋_GB2312"/>
                <w:color w:val="auto"/>
                <w:sz w:val="20"/>
                <w:highlight w:val="none"/>
                <w:lang w:val="en-US" w:eastAsia="zh-CN"/>
              </w:rPr>
              <w:t>79</w:t>
            </w:r>
            <w:r>
              <w:rPr>
                <w:rFonts w:hint="eastAsia" w:ascii="仿宋_GB2312" w:hAnsi="仿宋_GB2312" w:eastAsia="仿宋_GB2312" w:cs="仿宋_GB2312"/>
                <w:color w:val="auto"/>
                <w:sz w:val="20"/>
                <w:highlight w:val="none"/>
                <w:lang w:val="en-US" w:eastAsia="zh-Hans"/>
              </w:rPr>
              <w:t>元/架次</w:t>
            </w:r>
          </w:p>
        </w:tc>
        <w:tc>
          <w:tcPr>
            <w:tcW w:w="109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27FE26A">
            <w:pPr>
              <w:jc w:val="center"/>
              <w:rPr>
                <w:rFonts w:hint="default" w:ascii="仿宋_GB2312" w:hAnsi="仿宋_GB2312" w:eastAsia="仿宋_GB2312" w:cs="仿宋_GB2312"/>
                <w:color w:val="auto"/>
                <w:sz w:val="20"/>
                <w:highlight w:val="none"/>
                <w:lang w:val="en-US" w:eastAsia="zh-CN"/>
              </w:rPr>
            </w:pPr>
            <w:r>
              <w:rPr>
                <w:rFonts w:hint="eastAsia" w:ascii="仿宋_GB2312" w:hAnsi="仿宋_GB2312" w:eastAsia="仿宋_GB2312" w:cs="仿宋_GB2312"/>
                <w:color w:val="auto"/>
                <w:sz w:val="20"/>
                <w:highlight w:val="none"/>
                <w:lang w:val="en-US" w:eastAsia="zh-CN"/>
              </w:rPr>
              <w:t>18</w:t>
            </w:r>
            <w:r>
              <w:rPr>
                <w:rFonts w:hint="eastAsia" w:ascii="仿宋_GB2312" w:hAnsi="仿宋_GB2312" w:eastAsia="仿宋_GB2312" w:cs="仿宋_GB2312"/>
                <w:color w:val="auto"/>
                <w:sz w:val="20"/>
                <w:highlight w:val="none"/>
                <w:lang w:val="en-US" w:eastAsia="zh-Hans"/>
              </w:rPr>
              <w:t>套</w:t>
            </w:r>
          </w:p>
        </w:tc>
        <w:tc>
          <w:tcPr>
            <w:tcW w:w="15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8A5D44C">
            <w:pPr>
              <w:jc w:val="center"/>
              <w:rPr>
                <w:rFonts w:hint="eastAsia" w:ascii="仿宋_GB2312" w:hAnsi="仿宋_GB2312" w:eastAsia="仿宋_GB2312" w:cs="仿宋_GB2312"/>
                <w:color w:val="auto"/>
                <w:sz w:val="20"/>
                <w:highlight w:val="none"/>
                <w:lang w:val="en-US" w:eastAsia="zh-CN"/>
              </w:rPr>
            </w:pPr>
            <w:r>
              <w:rPr>
                <w:rFonts w:hint="eastAsia" w:ascii="仿宋_GB2312" w:hAnsi="仿宋_GB2312" w:eastAsia="仿宋_GB2312" w:cs="仿宋_GB2312"/>
                <w:color w:val="auto"/>
                <w:sz w:val="20"/>
                <w:highlight w:val="none"/>
                <w:lang w:val="en-US" w:eastAsia="zh-CN"/>
              </w:rPr>
              <w:t>3</w:t>
            </w:r>
            <w:r>
              <w:rPr>
                <w:rFonts w:hint="eastAsia" w:ascii="仿宋_GB2312" w:hAnsi="仿宋_GB2312" w:eastAsia="仿宋_GB2312" w:cs="仿宋_GB2312"/>
                <w:color w:val="auto"/>
                <w:sz w:val="20"/>
                <w:highlight w:val="none"/>
                <w:lang w:val="en-US" w:eastAsia="zh-Hans"/>
              </w:rPr>
              <w:t>年</w:t>
            </w:r>
          </w:p>
        </w:tc>
        <w:tc>
          <w:tcPr>
            <w:tcW w:w="178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E298218">
            <w:pPr>
              <w:jc w:val="center"/>
              <w:rPr>
                <w:rFonts w:hint="eastAsia" w:ascii="仿宋_GB2312" w:hAnsi="仿宋_GB2312" w:eastAsia="仿宋_GB2312" w:cs="仿宋_GB2312"/>
                <w:color w:val="auto"/>
                <w:sz w:val="20"/>
                <w:highlight w:val="none"/>
                <w:lang w:val="en-US" w:eastAsia="zh-Hans"/>
              </w:rPr>
            </w:pPr>
            <w:r>
              <w:rPr>
                <w:rFonts w:hint="eastAsia" w:ascii="仿宋_GB2312" w:hAnsi="仿宋_GB2312" w:eastAsia="仿宋_GB2312" w:cs="仿宋_GB2312"/>
                <w:color w:val="auto"/>
                <w:sz w:val="20"/>
                <w:highlight w:val="none"/>
                <w:lang w:val="en-US" w:eastAsia="zh-CN"/>
              </w:rPr>
              <w:t>1777.7880</w:t>
            </w:r>
          </w:p>
        </w:tc>
      </w:tr>
    </w:tbl>
    <w:p w14:paraId="691B5AA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CN"/>
        </w:rPr>
        <w:t>4</w:t>
      </w:r>
      <w:r>
        <w:rPr>
          <w:rFonts w:hint="eastAsia" w:ascii="仿宋_GB2312" w:hAnsi="仿宋_GB2312" w:eastAsia="仿宋_GB2312" w:cs="仿宋_GB2312"/>
          <w:b/>
          <w:color w:val="000000"/>
          <w:sz w:val="20"/>
          <w:highlight w:val="none"/>
          <w:lang w:val="en-US" w:eastAsia="zh-Hans"/>
        </w:rPr>
        <w:t xml:space="preserve">.2 </w:t>
      </w:r>
      <w:r>
        <w:rPr>
          <w:rFonts w:hint="eastAsia" w:ascii="仿宋_GB2312" w:hAnsi="仿宋_GB2312" w:eastAsia="仿宋_GB2312" w:cs="仿宋_GB2312"/>
          <w:b/>
          <w:color w:val="000000"/>
          <w:sz w:val="21"/>
          <w:highlight w:val="none"/>
          <w:lang w:val="en-US" w:eastAsia="zh-Hans"/>
        </w:rPr>
        <w:t>单次飞行架次最高限制单价为</w:t>
      </w:r>
      <w:r>
        <w:rPr>
          <w:rFonts w:hint="eastAsia" w:ascii="仿宋_GB2312" w:hAnsi="仿宋_GB2312" w:eastAsia="仿宋_GB2312" w:cs="仿宋_GB2312"/>
          <w:b/>
          <w:color w:val="000000"/>
          <w:sz w:val="21"/>
          <w:highlight w:val="none"/>
          <w:lang w:val="en-US" w:eastAsia="zh-CN"/>
        </w:rPr>
        <w:t>279</w:t>
      </w:r>
      <w:r>
        <w:rPr>
          <w:rFonts w:hint="eastAsia" w:ascii="仿宋_GB2312" w:hAnsi="仿宋_GB2312" w:eastAsia="仿宋_GB2312" w:cs="仿宋_GB2312"/>
          <w:b/>
          <w:color w:val="000000"/>
          <w:sz w:val="21"/>
          <w:highlight w:val="none"/>
          <w:lang w:val="en-US" w:eastAsia="zh-Hans"/>
        </w:rPr>
        <w:t>元/架次，即飞行架次未达到本项目要求的最低飞行架次或超出最低飞行架次的，均以单次飞行架次中标价根据实结算。根据应急情况需要，中标人需为招标人提供应急飞行服务，飞行架次不超过年度总飞行架次的10%招标人不另行付费。超过年度总飞行架次的10%按单价据实决算，结算总额达到中标价或者签订合同满3年即合同终止。单次飞行达到10 分钟及以上为有效飞行架次，达到 20 分钟及以上按1架次计算，10 至 20 分钟（不含）按0.5架次计算，不足 10 分钟的不计入有效架次且不计费。</w:t>
      </w:r>
    </w:p>
    <w:p w14:paraId="6EBF4336">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二、技术和服务要求（以“★”标示的内容为不允许负偏离的实质性要求）</w:t>
      </w:r>
    </w:p>
    <w:p w14:paraId="07E76683">
      <w:pPr>
        <w:jc w:val="left"/>
        <w:rPr>
          <w:rFonts w:hint="eastAsia" w:ascii="仿宋_GB2312" w:hAnsi="仿宋_GB2312" w:eastAsia="仿宋_GB2312" w:cs="仿宋_GB2312"/>
          <w:color w:val="000000"/>
          <w:sz w:val="20"/>
          <w:highlight w:val="none"/>
          <w:lang w:val="en-US" w:eastAsia="zh-Hans"/>
        </w:rPr>
      </w:pPr>
      <w:r>
        <w:rPr>
          <w:rFonts w:hint="eastAsia" w:ascii="仿宋_GB2312" w:hAnsi="仿宋_GB2312" w:eastAsia="仿宋_GB2312" w:cs="仿宋_GB2312"/>
          <w:color w:val="000000"/>
          <w:sz w:val="20"/>
          <w:highlight w:val="none"/>
          <w:lang w:val="en-US" w:eastAsia="zh-Hans"/>
        </w:rPr>
        <w:t>【★1】服务清单</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2530"/>
        <w:gridCol w:w="3418"/>
        <w:gridCol w:w="1459"/>
      </w:tblGrid>
      <w:tr w14:paraId="0921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6A4B840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kern w:val="2"/>
                <w:sz w:val="20"/>
                <w:szCs w:val="20"/>
                <w:highlight w:val="none"/>
                <w:vertAlign w:val="baseline"/>
              </w:rPr>
            </w:pPr>
            <w:r>
              <w:rPr>
                <w:rFonts w:hint="eastAsia" w:ascii="仿宋_GB2312" w:hAnsi="仿宋_GB2312" w:eastAsia="仿宋_GB2312" w:cs="仿宋_GB2312"/>
                <w:b/>
                <w:color w:val="auto"/>
                <w:kern w:val="2"/>
                <w:sz w:val="20"/>
                <w:szCs w:val="20"/>
                <w:highlight w:val="none"/>
              </w:rPr>
              <w:t>巡查领域</w:t>
            </w:r>
          </w:p>
        </w:tc>
        <w:tc>
          <w:tcPr>
            <w:tcW w:w="1484" w:type="pct"/>
          </w:tcPr>
          <w:p w14:paraId="04AF7D8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b/>
                <w:color w:val="auto"/>
                <w:kern w:val="2"/>
                <w:sz w:val="20"/>
                <w:szCs w:val="20"/>
                <w:highlight w:val="none"/>
              </w:rPr>
              <w:t>巡检项目名称</w:t>
            </w:r>
          </w:p>
        </w:tc>
        <w:tc>
          <w:tcPr>
            <w:tcW w:w="2005" w:type="pct"/>
          </w:tcPr>
          <w:p w14:paraId="715F4DE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kern w:val="2"/>
                <w:sz w:val="20"/>
                <w:szCs w:val="20"/>
                <w:highlight w:val="none"/>
                <w:vertAlign w:val="baseline"/>
              </w:rPr>
            </w:pPr>
            <w:r>
              <w:rPr>
                <w:rFonts w:hint="eastAsia" w:ascii="仿宋_GB2312" w:hAnsi="仿宋_GB2312" w:eastAsia="仿宋_GB2312" w:cs="仿宋_GB2312"/>
                <w:b/>
                <w:color w:val="auto"/>
                <w:kern w:val="2"/>
                <w:sz w:val="20"/>
                <w:szCs w:val="20"/>
                <w:highlight w:val="none"/>
              </w:rPr>
              <w:t>巡检内容</w:t>
            </w:r>
          </w:p>
        </w:tc>
        <w:tc>
          <w:tcPr>
            <w:tcW w:w="856" w:type="pct"/>
          </w:tcPr>
          <w:p w14:paraId="52013D8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kern w:val="2"/>
                <w:sz w:val="20"/>
                <w:szCs w:val="20"/>
                <w:highlight w:val="none"/>
                <w:vertAlign w:val="baseline"/>
              </w:rPr>
            </w:pPr>
            <w:r>
              <w:rPr>
                <w:rFonts w:hint="eastAsia" w:ascii="仿宋_GB2312" w:hAnsi="仿宋_GB2312" w:eastAsia="仿宋_GB2312" w:cs="仿宋_GB2312"/>
                <w:b/>
                <w:color w:val="auto"/>
                <w:kern w:val="2"/>
                <w:sz w:val="20"/>
                <w:szCs w:val="20"/>
                <w:highlight w:val="none"/>
                <w:lang w:val="en-US" w:eastAsia="zh-CN"/>
              </w:rPr>
              <w:t>巡检频次</w:t>
            </w:r>
          </w:p>
        </w:tc>
      </w:tr>
      <w:tr w14:paraId="26B2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vAlign w:val="center"/>
          </w:tcPr>
          <w:p w14:paraId="2036BB7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kern w:val="2"/>
                <w:sz w:val="20"/>
                <w:szCs w:val="20"/>
                <w:highlight w:val="none"/>
              </w:rPr>
              <w:t>一、</w:t>
            </w:r>
            <w:r>
              <w:rPr>
                <w:rFonts w:hint="eastAsia" w:ascii="仿宋_GB2312" w:hAnsi="仿宋_GB2312" w:eastAsia="仿宋_GB2312" w:cs="仿宋_GB2312"/>
                <w:color w:val="auto"/>
                <w:kern w:val="2"/>
                <w:sz w:val="20"/>
                <w:szCs w:val="20"/>
                <w:highlight w:val="none"/>
              </w:rPr>
              <w:t>应急管理</w:t>
            </w:r>
          </w:p>
        </w:tc>
        <w:tc>
          <w:tcPr>
            <w:tcW w:w="1484" w:type="pct"/>
            <w:vAlign w:val="center"/>
          </w:tcPr>
          <w:p w14:paraId="2E83E1D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安全生产</w:t>
            </w:r>
          </w:p>
        </w:tc>
        <w:tc>
          <w:tcPr>
            <w:tcW w:w="2005" w:type="pct"/>
            <w:shd w:val="clear" w:color="auto" w:fill="auto"/>
            <w:vAlign w:val="center"/>
          </w:tcPr>
          <w:p w14:paraId="047703F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依据应急部门提供的园区、矿区位置，对工业园区、偏远矿区进行安全巡查，对疑似违规行为及时反馈。非煤矿山行业每半个月组织一次巡飞。</w:t>
            </w:r>
          </w:p>
        </w:tc>
        <w:tc>
          <w:tcPr>
            <w:tcW w:w="856" w:type="pct"/>
            <w:shd w:val="clear" w:color="auto" w:fill="auto"/>
            <w:vAlign w:val="center"/>
          </w:tcPr>
          <w:p w14:paraId="301BF95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2周1次</w:t>
            </w:r>
          </w:p>
        </w:tc>
      </w:tr>
      <w:tr w14:paraId="3FC6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055444E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vAlign w:val="center"/>
          </w:tcPr>
          <w:p w14:paraId="041156A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防火巡查</w:t>
            </w:r>
          </w:p>
        </w:tc>
        <w:tc>
          <w:tcPr>
            <w:tcW w:w="2005" w:type="pct"/>
            <w:shd w:val="clear" w:color="auto" w:fill="auto"/>
            <w:vAlign w:val="center"/>
          </w:tcPr>
          <w:p w14:paraId="505E329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在森林防火期，对辖区内森林进行火情检测和防火宣传，发现疑似隐患及时反馈。在森防期每天11:30、15:00、16:30行巡查。</w:t>
            </w:r>
          </w:p>
        </w:tc>
        <w:tc>
          <w:tcPr>
            <w:tcW w:w="856" w:type="pct"/>
            <w:shd w:val="clear" w:color="auto" w:fill="auto"/>
            <w:vAlign w:val="center"/>
          </w:tcPr>
          <w:p w14:paraId="6B2954AA">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每天3次</w:t>
            </w:r>
          </w:p>
        </w:tc>
      </w:tr>
      <w:tr w14:paraId="4F74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6D5726A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vAlign w:val="center"/>
          </w:tcPr>
          <w:p w14:paraId="66CE19F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防汛防台</w:t>
            </w:r>
          </w:p>
        </w:tc>
        <w:tc>
          <w:tcPr>
            <w:tcW w:w="2005" w:type="pct"/>
            <w:shd w:val="clear" w:color="auto" w:fill="auto"/>
            <w:vAlign w:val="center"/>
          </w:tcPr>
          <w:p w14:paraId="1955BBE6">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在防汛防台期间，对重点区域进行隐患排查和人员劝导，发现疑似隐患及时反馈。</w:t>
            </w:r>
          </w:p>
        </w:tc>
        <w:tc>
          <w:tcPr>
            <w:tcW w:w="856" w:type="pct"/>
            <w:shd w:val="clear" w:color="auto" w:fill="auto"/>
            <w:vAlign w:val="center"/>
          </w:tcPr>
          <w:p w14:paraId="1B1AA1C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3687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165EFA9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vAlign w:val="center"/>
          </w:tcPr>
          <w:p w14:paraId="212E507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救援保障</w:t>
            </w:r>
          </w:p>
        </w:tc>
        <w:tc>
          <w:tcPr>
            <w:tcW w:w="2005" w:type="pct"/>
            <w:shd w:val="clear" w:color="auto" w:fill="auto"/>
            <w:vAlign w:val="center"/>
          </w:tcPr>
          <w:p w14:paraId="2A73BCB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在突发事件救援处置期间，利用无人机高空侦察保障救援处置工作。</w:t>
            </w:r>
          </w:p>
        </w:tc>
        <w:tc>
          <w:tcPr>
            <w:tcW w:w="856" w:type="pct"/>
            <w:shd w:val="clear" w:color="auto" w:fill="auto"/>
            <w:vAlign w:val="center"/>
          </w:tcPr>
          <w:p w14:paraId="0A3361D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5151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7F37412B">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二、</w:t>
            </w:r>
            <w:r>
              <w:rPr>
                <w:rFonts w:hint="eastAsia" w:ascii="仿宋_GB2312" w:hAnsi="仿宋_GB2312" w:eastAsia="仿宋_GB2312" w:cs="仿宋_GB2312"/>
                <w:color w:val="auto"/>
                <w:kern w:val="2"/>
                <w:sz w:val="20"/>
                <w:szCs w:val="20"/>
                <w:highlight w:val="none"/>
              </w:rPr>
              <w:t>道安</w:t>
            </w:r>
          </w:p>
        </w:tc>
        <w:tc>
          <w:tcPr>
            <w:tcW w:w="1484" w:type="pct"/>
            <w:shd w:val="clear" w:color="auto" w:fill="auto"/>
            <w:vAlign w:val="center"/>
          </w:tcPr>
          <w:p w14:paraId="7F47E61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圩天巡查</w:t>
            </w:r>
          </w:p>
        </w:tc>
        <w:tc>
          <w:tcPr>
            <w:tcW w:w="2005" w:type="pct"/>
            <w:shd w:val="clear" w:color="auto" w:fill="auto"/>
            <w:vAlign w:val="center"/>
          </w:tcPr>
          <w:p w14:paraId="09A4089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针对各乡镇圩天主要路口进行巡查，对存在的交通拥堵及时反馈给属地乡镇和公安部门。</w:t>
            </w:r>
          </w:p>
        </w:tc>
        <w:tc>
          <w:tcPr>
            <w:tcW w:w="856" w:type="pct"/>
            <w:shd w:val="clear" w:color="auto" w:fill="auto"/>
            <w:vAlign w:val="center"/>
          </w:tcPr>
          <w:p w14:paraId="194AB39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7F66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0912612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200E646A">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道路巡查</w:t>
            </w:r>
          </w:p>
        </w:tc>
        <w:tc>
          <w:tcPr>
            <w:tcW w:w="2005" w:type="pct"/>
            <w:shd w:val="clear" w:color="auto" w:fill="auto"/>
            <w:vAlign w:val="center"/>
          </w:tcPr>
          <w:p w14:paraId="685B429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对国、省、县、乡干道违规堆放及装卸货物等违规占道进行巡查，并及时反馈给县公路和交通运输部门。</w:t>
            </w:r>
          </w:p>
        </w:tc>
        <w:tc>
          <w:tcPr>
            <w:tcW w:w="856" w:type="pct"/>
            <w:shd w:val="clear" w:color="auto" w:fill="auto"/>
            <w:vAlign w:val="center"/>
          </w:tcPr>
          <w:p w14:paraId="632CF59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37A1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1D22380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1D1A28F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突发隐患巡查</w:t>
            </w:r>
          </w:p>
        </w:tc>
        <w:tc>
          <w:tcPr>
            <w:tcW w:w="2005" w:type="pct"/>
            <w:shd w:val="clear" w:color="auto" w:fill="auto"/>
            <w:vAlign w:val="center"/>
          </w:tcPr>
          <w:p w14:paraId="7A6E1AE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PH"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巡查自然灾害、极端天气和交通事故引发的道路突发隐患情况。</w:t>
            </w:r>
          </w:p>
        </w:tc>
        <w:tc>
          <w:tcPr>
            <w:tcW w:w="856" w:type="pct"/>
            <w:shd w:val="clear" w:color="auto" w:fill="auto"/>
            <w:vAlign w:val="center"/>
          </w:tcPr>
          <w:p w14:paraId="725B03D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6DE3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3519196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三、</w:t>
            </w:r>
            <w:r>
              <w:rPr>
                <w:rFonts w:hint="eastAsia" w:ascii="仿宋_GB2312" w:hAnsi="仿宋_GB2312" w:eastAsia="仿宋_GB2312" w:cs="仿宋_GB2312"/>
                <w:color w:val="auto"/>
                <w:kern w:val="2"/>
                <w:sz w:val="20"/>
                <w:szCs w:val="20"/>
                <w:highlight w:val="none"/>
              </w:rPr>
              <w:t>自然资源</w:t>
            </w:r>
          </w:p>
        </w:tc>
        <w:tc>
          <w:tcPr>
            <w:tcW w:w="1484" w:type="pct"/>
          </w:tcPr>
          <w:p w14:paraId="43E3FDAB">
            <w:pPr>
              <w:keepNext w:val="0"/>
              <w:keepLines w:val="0"/>
              <w:pageBreakBefore w:val="0"/>
              <w:widowControl w:val="0"/>
              <w:kinsoku/>
              <w:wordWrap/>
              <w:overflowPunct/>
              <w:topLinePunct w:val="0"/>
              <w:autoSpaceDE/>
              <w:autoSpaceDN/>
              <w:bidi w:val="0"/>
              <w:adjustRightInd/>
              <w:spacing w:line="280" w:lineRule="exact"/>
              <w:jc w:val="both"/>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rPr>
              <w:t>耕地保护</w:t>
            </w:r>
          </w:p>
        </w:tc>
        <w:tc>
          <w:tcPr>
            <w:tcW w:w="2005" w:type="pct"/>
          </w:tcPr>
          <w:p w14:paraId="1AA8F9C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b/>
                <w:color w:val="auto"/>
                <w:kern w:val="2"/>
                <w:sz w:val="20"/>
                <w:szCs w:val="20"/>
                <w:highlight w:val="none"/>
              </w:rPr>
              <w:t>高频次航拍监测，对居民区、园区、工地等人为活动频繁区域周边耕地进行变化监测，及时发现耕地改变用途等行为并反馈坐标、影像、清单、套合图等电子数据。</w:t>
            </w:r>
          </w:p>
        </w:tc>
        <w:tc>
          <w:tcPr>
            <w:tcW w:w="856" w:type="pct"/>
          </w:tcPr>
          <w:p w14:paraId="0342085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lang w:val="en-US" w:eastAsia="zh-CN"/>
              </w:rPr>
            </w:pPr>
            <w:r>
              <w:rPr>
                <w:rFonts w:hint="eastAsia" w:ascii="仿宋_GB2312" w:hAnsi="仿宋_GB2312" w:eastAsia="仿宋_GB2312" w:cs="仿宋_GB2312"/>
                <w:color w:val="auto"/>
                <w:kern w:val="2"/>
                <w:sz w:val="20"/>
                <w:szCs w:val="20"/>
                <w:highlight w:val="none"/>
              </w:rPr>
              <w:t>每周1次</w:t>
            </w:r>
          </w:p>
        </w:tc>
      </w:tr>
      <w:tr w14:paraId="59B3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089AD19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5BA10D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矿山巡查</w:t>
            </w:r>
          </w:p>
        </w:tc>
        <w:tc>
          <w:tcPr>
            <w:tcW w:w="2005" w:type="pct"/>
            <w:shd w:val="clear" w:color="auto" w:fill="auto"/>
            <w:vAlign w:val="center"/>
          </w:tcPr>
          <w:p w14:paraId="1FE91BD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对生产、建设露天矿山进行周期性巡查，监控矿山是否越界开采等，对到期、关闭矿山进行定期巡查，监测非法盗采活动迹象。</w:t>
            </w:r>
          </w:p>
        </w:tc>
        <w:tc>
          <w:tcPr>
            <w:tcW w:w="856" w:type="pct"/>
            <w:shd w:val="clear" w:color="auto" w:fill="auto"/>
            <w:vAlign w:val="center"/>
          </w:tcPr>
          <w:p w14:paraId="38B33AA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7551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169665F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44954F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地灾隐患初查</w:t>
            </w:r>
          </w:p>
        </w:tc>
        <w:tc>
          <w:tcPr>
            <w:tcW w:w="2005" w:type="pct"/>
            <w:shd w:val="clear" w:color="auto" w:fill="auto"/>
            <w:vAlign w:val="center"/>
          </w:tcPr>
          <w:p w14:paraId="27049FC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对已获取的地质灾害隐患点进行定期航拍，多期比对，监测地表塌陷、滑坡、裂缝发育、疑似监测设施及防护设施破坏等情况。</w:t>
            </w:r>
          </w:p>
        </w:tc>
        <w:tc>
          <w:tcPr>
            <w:tcW w:w="856" w:type="pct"/>
            <w:shd w:val="clear" w:color="auto" w:fill="auto"/>
            <w:vAlign w:val="center"/>
          </w:tcPr>
          <w:p w14:paraId="3CFE5C5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71F6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2370E56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712F196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在建项目巡查</w:t>
            </w:r>
          </w:p>
        </w:tc>
        <w:tc>
          <w:tcPr>
            <w:tcW w:w="2005" w:type="pct"/>
            <w:shd w:val="clear" w:color="auto" w:fill="auto"/>
            <w:vAlign w:val="center"/>
          </w:tcPr>
          <w:p w14:paraId="0DA93E3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对土地开发、整治等工程项目进行定期巡查，识别违规作业等情形，并辅助跟进项目施工进度。</w:t>
            </w:r>
          </w:p>
        </w:tc>
        <w:tc>
          <w:tcPr>
            <w:tcW w:w="856" w:type="pct"/>
            <w:shd w:val="clear" w:color="auto" w:fill="auto"/>
            <w:vAlign w:val="center"/>
          </w:tcPr>
          <w:p w14:paraId="163306F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1DA9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7A49971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四、</w:t>
            </w:r>
            <w:r>
              <w:rPr>
                <w:rFonts w:hint="eastAsia" w:ascii="仿宋_GB2312" w:hAnsi="仿宋_GB2312" w:eastAsia="仿宋_GB2312" w:cs="仿宋_GB2312"/>
                <w:color w:val="auto"/>
                <w:kern w:val="2"/>
                <w:sz w:val="20"/>
                <w:szCs w:val="20"/>
                <w:highlight w:val="none"/>
              </w:rPr>
              <w:t>水利管理</w:t>
            </w:r>
          </w:p>
        </w:tc>
        <w:tc>
          <w:tcPr>
            <w:tcW w:w="1484" w:type="pct"/>
            <w:shd w:val="clear" w:color="auto" w:fill="auto"/>
            <w:vAlign w:val="center"/>
          </w:tcPr>
          <w:p w14:paraId="7D405EC6">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河湖“四乱”巡查</w:t>
            </w:r>
          </w:p>
        </w:tc>
        <w:tc>
          <w:tcPr>
            <w:tcW w:w="2005" w:type="pct"/>
            <w:shd w:val="clear" w:color="auto" w:fill="auto"/>
            <w:vAlign w:val="center"/>
          </w:tcPr>
          <w:p w14:paraId="7DCE22A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沿河湖岸线飞行，高清拍摄河道管理线状况，对河湖长制工作中“四乱”问题进行巡查。</w:t>
            </w:r>
          </w:p>
        </w:tc>
        <w:tc>
          <w:tcPr>
            <w:tcW w:w="856" w:type="pct"/>
            <w:shd w:val="clear" w:color="auto" w:fill="auto"/>
            <w:vAlign w:val="center"/>
          </w:tcPr>
          <w:p w14:paraId="1F1DCE1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7368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40F32C3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4F9859D9">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防汛防台辅助、水土流失</w:t>
            </w:r>
          </w:p>
        </w:tc>
        <w:tc>
          <w:tcPr>
            <w:tcW w:w="2005" w:type="pct"/>
            <w:shd w:val="clear" w:color="auto" w:fill="auto"/>
            <w:vAlign w:val="center"/>
          </w:tcPr>
          <w:p w14:paraId="7DB0A9A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防汛防台工作中对重点水库、重点河流、易涝、水土流失等关键地点进行险情巡查，发现疑似隐患及时反馈。</w:t>
            </w:r>
          </w:p>
        </w:tc>
        <w:tc>
          <w:tcPr>
            <w:tcW w:w="856" w:type="pct"/>
            <w:shd w:val="clear" w:color="auto" w:fill="auto"/>
            <w:vAlign w:val="center"/>
          </w:tcPr>
          <w:p w14:paraId="413EC40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4A84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34E64BB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2B3C223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在建工程巡查</w:t>
            </w:r>
          </w:p>
        </w:tc>
        <w:tc>
          <w:tcPr>
            <w:tcW w:w="2005" w:type="pct"/>
            <w:shd w:val="clear" w:color="auto" w:fill="auto"/>
            <w:vAlign w:val="center"/>
          </w:tcPr>
          <w:p w14:paraId="354FEAF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对在建水利工程项目识别违规作业等情形，并辅助跟进项目施工进度。</w:t>
            </w:r>
          </w:p>
        </w:tc>
        <w:tc>
          <w:tcPr>
            <w:tcW w:w="856" w:type="pct"/>
            <w:shd w:val="clear" w:color="auto" w:fill="auto"/>
            <w:vAlign w:val="center"/>
          </w:tcPr>
          <w:p w14:paraId="3CB8EDA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4E3C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restart"/>
          </w:tcPr>
          <w:p w14:paraId="717C98F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五、</w:t>
            </w:r>
            <w:r>
              <w:rPr>
                <w:rFonts w:hint="eastAsia" w:ascii="仿宋_GB2312" w:hAnsi="仿宋_GB2312" w:eastAsia="仿宋_GB2312" w:cs="仿宋_GB2312"/>
                <w:color w:val="auto"/>
                <w:kern w:val="2"/>
                <w:sz w:val="20"/>
                <w:szCs w:val="20"/>
                <w:highlight w:val="none"/>
              </w:rPr>
              <w:t>农业农村</w:t>
            </w:r>
          </w:p>
        </w:tc>
        <w:tc>
          <w:tcPr>
            <w:tcW w:w="1484" w:type="pct"/>
          </w:tcPr>
          <w:p w14:paraId="479D953C">
            <w:pPr>
              <w:keepNext w:val="0"/>
              <w:keepLines w:val="0"/>
              <w:pageBreakBefore w:val="0"/>
              <w:widowControl w:val="0"/>
              <w:kinsoku/>
              <w:wordWrap/>
              <w:overflowPunct/>
              <w:topLinePunct w:val="0"/>
              <w:autoSpaceDE/>
              <w:autoSpaceDN/>
              <w:bidi w:val="0"/>
              <w:adjustRightInd/>
              <w:spacing w:line="280" w:lineRule="exact"/>
              <w:jc w:val="both"/>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rPr>
              <w:t>农业受灾评估</w:t>
            </w:r>
          </w:p>
        </w:tc>
        <w:tc>
          <w:tcPr>
            <w:tcW w:w="2005" w:type="pct"/>
          </w:tcPr>
          <w:p w14:paraId="1A35152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rPr>
              <w:t>对全县有种植农作物农田，因洪涝灾害、病虫害等造成的农作物受灾情况，进行无人机航测，确定受灾面积、程度等，为灾后评估提供基础数据。</w:t>
            </w:r>
          </w:p>
        </w:tc>
        <w:tc>
          <w:tcPr>
            <w:tcW w:w="856" w:type="pct"/>
          </w:tcPr>
          <w:p w14:paraId="264F0B4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lang w:val="en-US" w:eastAsia="zh-CN"/>
              </w:rPr>
            </w:pPr>
            <w:r>
              <w:rPr>
                <w:rFonts w:hint="eastAsia" w:ascii="仿宋_GB2312" w:hAnsi="仿宋_GB2312" w:eastAsia="仿宋_GB2312" w:cs="仿宋_GB2312"/>
                <w:color w:val="auto"/>
                <w:kern w:val="2"/>
                <w:sz w:val="20"/>
                <w:szCs w:val="20"/>
                <w:highlight w:val="none"/>
              </w:rPr>
              <w:t>县应急响应启动期间每天巡查1次、按需派单</w:t>
            </w:r>
          </w:p>
        </w:tc>
      </w:tr>
      <w:tr w14:paraId="7F57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1A98DFC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76AA168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农业执法取证</w:t>
            </w:r>
          </w:p>
        </w:tc>
        <w:tc>
          <w:tcPr>
            <w:tcW w:w="2005" w:type="pct"/>
            <w:shd w:val="clear" w:color="auto" w:fill="auto"/>
            <w:vAlign w:val="center"/>
          </w:tcPr>
          <w:p w14:paraId="3E85563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对紫阳湖库区、汶水湖库区等区域疑似涉及违法行为进行无人机航拍，形成视频和照片，为执法提供证据材料。</w:t>
            </w:r>
          </w:p>
        </w:tc>
        <w:tc>
          <w:tcPr>
            <w:tcW w:w="856" w:type="pct"/>
            <w:shd w:val="clear" w:color="auto" w:fill="auto"/>
            <w:vAlign w:val="center"/>
          </w:tcPr>
          <w:p w14:paraId="499F8CA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每周3次、按需派单</w:t>
            </w:r>
          </w:p>
        </w:tc>
      </w:tr>
      <w:tr w14:paraId="27BC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38B2570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922E471">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农机安全</w:t>
            </w:r>
          </w:p>
        </w:tc>
        <w:tc>
          <w:tcPr>
            <w:tcW w:w="2005" w:type="pct"/>
            <w:shd w:val="clear" w:color="auto" w:fill="auto"/>
            <w:vAlign w:val="center"/>
          </w:tcPr>
          <w:p w14:paraId="0118208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在全县乡村主要交通干道巡查有无多功能拖拉机和手扶拖拉机运输机组上道路行驶等违法违规行为。</w:t>
            </w:r>
          </w:p>
        </w:tc>
        <w:tc>
          <w:tcPr>
            <w:tcW w:w="856" w:type="pct"/>
            <w:shd w:val="clear" w:color="auto" w:fill="auto"/>
            <w:vAlign w:val="center"/>
          </w:tcPr>
          <w:p w14:paraId="18ED502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每周2次、按需派单</w:t>
            </w:r>
          </w:p>
        </w:tc>
      </w:tr>
      <w:tr w14:paraId="2AD4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327B341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1C53A7F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梯田保护</w:t>
            </w:r>
          </w:p>
        </w:tc>
        <w:tc>
          <w:tcPr>
            <w:tcW w:w="2005" w:type="pct"/>
            <w:shd w:val="clear" w:color="auto" w:fill="auto"/>
            <w:vAlign w:val="center"/>
          </w:tcPr>
          <w:p w14:paraId="25F1A76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每年七月底至八月初航测联合梯田核心区（东边村、云山村、连云村）种植面积，生成正射影像图。</w:t>
            </w:r>
          </w:p>
        </w:tc>
        <w:tc>
          <w:tcPr>
            <w:tcW w:w="856" w:type="pct"/>
            <w:shd w:val="clear" w:color="auto" w:fill="auto"/>
            <w:vAlign w:val="center"/>
          </w:tcPr>
          <w:p w14:paraId="22E4BA3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按需派单</w:t>
            </w:r>
          </w:p>
        </w:tc>
      </w:tr>
      <w:tr w14:paraId="57FA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3CADC40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740864B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农业试验示范</w:t>
            </w:r>
          </w:p>
        </w:tc>
        <w:tc>
          <w:tcPr>
            <w:tcW w:w="2005" w:type="pct"/>
            <w:shd w:val="clear" w:color="auto" w:fill="auto"/>
            <w:vAlign w:val="center"/>
          </w:tcPr>
          <w:p w14:paraId="4004F34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对指定区域农业试验示范田开展面积测量，生成正射影像图，多光谱航拍监测。</w:t>
            </w:r>
          </w:p>
        </w:tc>
        <w:tc>
          <w:tcPr>
            <w:tcW w:w="856" w:type="pct"/>
            <w:shd w:val="clear" w:color="auto" w:fill="auto"/>
            <w:vAlign w:val="center"/>
          </w:tcPr>
          <w:p w14:paraId="5A89B0F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按需派单</w:t>
            </w:r>
          </w:p>
        </w:tc>
      </w:tr>
      <w:tr w14:paraId="604A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63BDB1C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3BB12E2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养殖场资源化利用设施运行巡查</w:t>
            </w:r>
          </w:p>
        </w:tc>
        <w:tc>
          <w:tcPr>
            <w:tcW w:w="2005" w:type="pct"/>
            <w:shd w:val="clear" w:color="auto" w:fill="auto"/>
            <w:vAlign w:val="center"/>
          </w:tcPr>
          <w:p w14:paraId="114600EA">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对尤溪县县域内91家采用资源化利用的规上畜禽养殖场消纳地开展巡查，监测周边环境环保状况，确保设施正常运行。</w:t>
            </w:r>
          </w:p>
        </w:tc>
        <w:tc>
          <w:tcPr>
            <w:tcW w:w="856" w:type="pct"/>
            <w:shd w:val="clear" w:color="auto" w:fill="auto"/>
            <w:vAlign w:val="center"/>
          </w:tcPr>
          <w:p w14:paraId="395BAFF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14C3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522FB17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六、</w:t>
            </w:r>
            <w:r>
              <w:rPr>
                <w:rFonts w:hint="eastAsia" w:ascii="仿宋_GB2312" w:hAnsi="仿宋_GB2312" w:eastAsia="仿宋_GB2312" w:cs="仿宋_GB2312"/>
                <w:color w:val="auto"/>
                <w:kern w:val="2"/>
                <w:sz w:val="20"/>
                <w:szCs w:val="20"/>
                <w:highlight w:val="none"/>
              </w:rPr>
              <w:t>林业管理</w:t>
            </w:r>
          </w:p>
        </w:tc>
        <w:tc>
          <w:tcPr>
            <w:tcW w:w="1484" w:type="pct"/>
            <w:vAlign w:val="center"/>
          </w:tcPr>
          <w:p w14:paraId="0BE8542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森林防火巡查</w:t>
            </w:r>
          </w:p>
        </w:tc>
        <w:tc>
          <w:tcPr>
            <w:tcW w:w="2005" w:type="pct"/>
            <w:vAlign w:val="center"/>
          </w:tcPr>
          <w:p w14:paraId="330B3B4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常态化开展森林野外空中巡查，发现火情精准定位，把火情位置发送给相应护林员，同时空中喊话确保用火安全、劝阻违规用火。在森林防火关键期，一并把火情位置发送给相应扑火队伍。在非森林防火期，每天14点进行巡查，在森林防火期，每天11:30、15:00、16:30进行巡查（全年约228天）。</w:t>
            </w:r>
          </w:p>
        </w:tc>
        <w:tc>
          <w:tcPr>
            <w:tcW w:w="856" w:type="pct"/>
            <w:vAlign w:val="center"/>
          </w:tcPr>
          <w:p w14:paraId="072E5DF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5435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34D91C0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701F0D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保护地监管</w:t>
            </w:r>
          </w:p>
        </w:tc>
        <w:tc>
          <w:tcPr>
            <w:tcW w:w="2005" w:type="pct"/>
            <w:shd w:val="clear" w:color="auto" w:fill="auto"/>
            <w:vAlign w:val="center"/>
          </w:tcPr>
          <w:p w14:paraId="30DF8A3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对自然保护区等核心区进行空中巡护，识别违规进人、非法建设、盗猎等行为。</w:t>
            </w:r>
          </w:p>
        </w:tc>
        <w:tc>
          <w:tcPr>
            <w:tcW w:w="856" w:type="pct"/>
            <w:shd w:val="clear" w:color="auto" w:fill="auto"/>
            <w:vAlign w:val="center"/>
          </w:tcPr>
          <w:p w14:paraId="373BD93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每天3次</w:t>
            </w:r>
          </w:p>
        </w:tc>
      </w:tr>
      <w:tr w14:paraId="0F64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1702502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5A5D2F1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林草湿荒调查监测</w:t>
            </w:r>
          </w:p>
        </w:tc>
        <w:tc>
          <w:tcPr>
            <w:tcW w:w="2005" w:type="pct"/>
            <w:shd w:val="clear" w:color="auto" w:fill="auto"/>
            <w:vAlign w:val="center"/>
          </w:tcPr>
          <w:p w14:paraId="30BE39F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对全县森林、湿地、草地日常变化进行调查监测</w:t>
            </w:r>
          </w:p>
        </w:tc>
        <w:tc>
          <w:tcPr>
            <w:tcW w:w="856" w:type="pct"/>
            <w:shd w:val="clear" w:color="auto" w:fill="auto"/>
            <w:vAlign w:val="center"/>
          </w:tcPr>
          <w:p w14:paraId="5004B9A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4DBA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260B0BC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1B0A39B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松材线虫病防控</w:t>
            </w:r>
          </w:p>
        </w:tc>
        <w:tc>
          <w:tcPr>
            <w:tcW w:w="2005" w:type="pct"/>
            <w:shd w:val="clear" w:color="auto" w:fill="auto"/>
            <w:vAlign w:val="center"/>
          </w:tcPr>
          <w:p w14:paraId="3AB316F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通过高分辨率影像，精准识别定位重点区域枯死松树，生成疫木分布图，指导精准除治。</w:t>
            </w:r>
          </w:p>
        </w:tc>
        <w:tc>
          <w:tcPr>
            <w:tcW w:w="856" w:type="pct"/>
            <w:shd w:val="clear" w:color="auto" w:fill="auto"/>
            <w:vAlign w:val="center"/>
          </w:tcPr>
          <w:p w14:paraId="0FDAAE9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每月1次</w:t>
            </w:r>
          </w:p>
        </w:tc>
      </w:tr>
      <w:tr w14:paraId="2ECD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64A8ECF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4027D62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古树名木保护</w:t>
            </w:r>
          </w:p>
        </w:tc>
        <w:tc>
          <w:tcPr>
            <w:tcW w:w="2005" w:type="pct"/>
            <w:shd w:val="clear" w:color="auto" w:fill="auto"/>
            <w:vAlign w:val="center"/>
          </w:tcPr>
          <w:p w14:paraId="41B4AB2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对辖区内古树名木巡查，排查保护措施损毁情况。</w:t>
            </w:r>
          </w:p>
        </w:tc>
        <w:tc>
          <w:tcPr>
            <w:tcW w:w="856" w:type="pct"/>
            <w:shd w:val="clear" w:color="auto" w:fill="auto"/>
            <w:vAlign w:val="center"/>
          </w:tcPr>
          <w:p w14:paraId="680B5D0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5784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5F4E57C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6A1123D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涉林工程巡查</w:t>
            </w:r>
          </w:p>
        </w:tc>
        <w:tc>
          <w:tcPr>
            <w:tcW w:w="2005" w:type="pct"/>
            <w:shd w:val="clear" w:color="auto" w:fill="auto"/>
            <w:vAlign w:val="center"/>
          </w:tcPr>
          <w:p w14:paraId="35CC0B4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对项目建设用地、造林、伐木等工程进行巡查，识别违规作业等情形，并辅助跟进项目施工进度。</w:t>
            </w:r>
          </w:p>
        </w:tc>
        <w:tc>
          <w:tcPr>
            <w:tcW w:w="856" w:type="pct"/>
            <w:shd w:val="clear" w:color="auto" w:fill="auto"/>
            <w:vAlign w:val="center"/>
          </w:tcPr>
          <w:p w14:paraId="04DEF62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7230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52BB6FF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1289090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变化（违法）图斑核实</w:t>
            </w:r>
          </w:p>
        </w:tc>
        <w:tc>
          <w:tcPr>
            <w:tcW w:w="2005" w:type="pct"/>
            <w:shd w:val="clear" w:color="auto" w:fill="auto"/>
            <w:vAlign w:val="center"/>
          </w:tcPr>
          <w:p w14:paraId="5ADA052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对年度变化图斑进行飞行拍照，利用高清影像图进行比对分析变化原因</w:t>
            </w:r>
          </w:p>
        </w:tc>
        <w:tc>
          <w:tcPr>
            <w:tcW w:w="856" w:type="pct"/>
            <w:shd w:val="clear" w:color="auto" w:fill="auto"/>
            <w:vAlign w:val="center"/>
          </w:tcPr>
          <w:p w14:paraId="3BC0F73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4D3B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25BA404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710DD01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新造林地位置与面积核实、造林成效评估、中幼林抚育范围、面积和作业质量评价。</w:t>
            </w:r>
          </w:p>
        </w:tc>
        <w:tc>
          <w:tcPr>
            <w:tcW w:w="2005" w:type="pct"/>
            <w:shd w:val="clear" w:color="auto" w:fill="auto"/>
            <w:vAlign w:val="center"/>
          </w:tcPr>
          <w:p w14:paraId="01439DD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对辖区当年造林地进行面积核实，并定期巡查监测幼林生长情况，为评估成活率、保存率提供依据。</w:t>
            </w:r>
          </w:p>
        </w:tc>
        <w:tc>
          <w:tcPr>
            <w:tcW w:w="856" w:type="pct"/>
            <w:shd w:val="clear" w:color="auto" w:fill="auto"/>
            <w:vAlign w:val="center"/>
          </w:tcPr>
          <w:p w14:paraId="0AFD55E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按需派单</w:t>
            </w:r>
          </w:p>
        </w:tc>
      </w:tr>
      <w:tr w14:paraId="4405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44A2E73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5B125F8A">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项目建设用地核实</w:t>
            </w:r>
          </w:p>
        </w:tc>
        <w:tc>
          <w:tcPr>
            <w:tcW w:w="2005" w:type="pct"/>
            <w:shd w:val="clear" w:color="auto" w:fill="auto"/>
            <w:vAlign w:val="center"/>
          </w:tcPr>
          <w:p w14:paraId="277FEC3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对辖区内当年度项目建设用地的选址、规划、勘验、验收提供调查依据；对项目建设过程是否按要求施工及到期临时用地是否恢复林业生产条件进行全过程监管。</w:t>
            </w:r>
          </w:p>
        </w:tc>
        <w:tc>
          <w:tcPr>
            <w:tcW w:w="856" w:type="pct"/>
            <w:shd w:val="clear" w:color="auto" w:fill="auto"/>
            <w:vAlign w:val="center"/>
          </w:tcPr>
          <w:p w14:paraId="74482B5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按需派单</w:t>
            </w:r>
          </w:p>
        </w:tc>
      </w:tr>
      <w:tr w14:paraId="7571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47493CC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七、</w:t>
            </w:r>
            <w:r>
              <w:rPr>
                <w:rFonts w:hint="eastAsia" w:ascii="仿宋_GB2312" w:hAnsi="仿宋_GB2312" w:eastAsia="仿宋_GB2312" w:cs="仿宋_GB2312"/>
                <w:color w:val="auto"/>
                <w:kern w:val="2"/>
                <w:sz w:val="20"/>
                <w:szCs w:val="20"/>
                <w:highlight w:val="none"/>
              </w:rPr>
              <w:t>交通运输</w:t>
            </w:r>
          </w:p>
        </w:tc>
        <w:tc>
          <w:tcPr>
            <w:tcW w:w="1484" w:type="pct"/>
            <w:shd w:val="clear" w:color="auto" w:fill="auto"/>
            <w:vAlign w:val="center"/>
          </w:tcPr>
          <w:p w14:paraId="742D458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道路灾毁观测</w:t>
            </w:r>
          </w:p>
        </w:tc>
        <w:tc>
          <w:tcPr>
            <w:tcW w:w="2005" w:type="pct"/>
            <w:shd w:val="clear" w:color="auto" w:fill="auto"/>
            <w:vAlign w:val="center"/>
          </w:tcPr>
          <w:p w14:paraId="7B5060B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强降雨后，快速巡查山区道路，识别边坡塌方、路基掏空、路面损毁、桥梁涵洞堵塞等灾毁点，评估灾情并定位上报。</w:t>
            </w:r>
          </w:p>
        </w:tc>
        <w:tc>
          <w:tcPr>
            <w:tcW w:w="856" w:type="pct"/>
            <w:shd w:val="clear" w:color="auto" w:fill="auto"/>
            <w:vAlign w:val="center"/>
          </w:tcPr>
          <w:p w14:paraId="6BADA86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3BA8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10FCED36">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77A7315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日常道路养护巡查</w:t>
            </w:r>
          </w:p>
        </w:tc>
        <w:tc>
          <w:tcPr>
            <w:tcW w:w="2005" w:type="pct"/>
            <w:shd w:val="clear" w:color="auto" w:fill="auto"/>
            <w:vAlign w:val="center"/>
          </w:tcPr>
          <w:p w14:paraId="595924A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公路路况进行周期性巡检，识别路面坑槽、裂缝、标线磨损、护栏损坏、非法占道等问题。对农村公路日常养护进行巡查，重点巡查公路边坡2.5米以下和外路肩是否有杂草和乱堆弃、路面是否整洁、边沟和涵洞是否堵塞等现状。县道养护工人每月逢5、10日是否上路作业。农村公路是否有超载超限车辆通行及跑、冒、滴、漏现象。</w:t>
            </w:r>
          </w:p>
        </w:tc>
        <w:tc>
          <w:tcPr>
            <w:tcW w:w="856" w:type="pct"/>
            <w:shd w:val="clear" w:color="auto" w:fill="auto"/>
            <w:vAlign w:val="center"/>
          </w:tcPr>
          <w:p w14:paraId="2C79361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县道每月逢5、10日巡查一次，乡道每两周巡查一次，村道每月巡查一次</w:t>
            </w:r>
          </w:p>
        </w:tc>
      </w:tr>
      <w:tr w14:paraId="227A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3D71062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1B00D88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在建项目巡查</w:t>
            </w:r>
          </w:p>
        </w:tc>
        <w:tc>
          <w:tcPr>
            <w:tcW w:w="2005" w:type="pct"/>
            <w:shd w:val="clear" w:color="auto" w:fill="auto"/>
            <w:vAlign w:val="center"/>
          </w:tcPr>
          <w:p w14:paraId="1584E79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对在建交通基础设施项目进行每周巡查一次，对工程安全、环境水保等问题进行排查，并辅助跟进项目施工进度。</w:t>
            </w:r>
          </w:p>
        </w:tc>
        <w:tc>
          <w:tcPr>
            <w:tcW w:w="856" w:type="pct"/>
            <w:shd w:val="clear" w:color="auto" w:fill="auto"/>
            <w:vAlign w:val="center"/>
          </w:tcPr>
          <w:p w14:paraId="3B61C1B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211F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7EB03F1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八、</w:t>
            </w:r>
            <w:r>
              <w:rPr>
                <w:rFonts w:hint="eastAsia" w:ascii="仿宋_GB2312" w:hAnsi="仿宋_GB2312" w:eastAsia="仿宋_GB2312" w:cs="仿宋_GB2312"/>
                <w:color w:val="auto"/>
                <w:kern w:val="2"/>
                <w:sz w:val="20"/>
                <w:szCs w:val="20"/>
                <w:highlight w:val="none"/>
              </w:rPr>
              <w:t>城市管理</w:t>
            </w:r>
          </w:p>
        </w:tc>
        <w:tc>
          <w:tcPr>
            <w:tcW w:w="1484" w:type="pct"/>
            <w:shd w:val="clear" w:color="auto" w:fill="auto"/>
            <w:vAlign w:val="center"/>
          </w:tcPr>
          <w:p w14:paraId="3C537E2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违法弃土巡查</w:t>
            </w:r>
          </w:p>
        </w:tc>
        <w:tc>
          <w:tcPr>
            <w:tcW w:w="2005" w:type="pct"/>
            <w:shd w:val="clear" w:color="auto" w:fill="auto"/>
            <w:vAlign w:val="center"/>
          </w:tcPr>
          <w:p w14:paraId="2A552C0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对城郊荒地、河道滩涂等易发区域进行巡查，识别非法倾倒建筑垃圾、渣土行为，观测堆土方量，定位源头。</w:t>
            </w:r>
          </w:p>
        </w:tc>
        <w:tc>
          <w:tcPr>
            <w:tcW w:w="856" w:type="pct"/>
            <w:shd w:val="clear" w:color="auto" w:fill="auto"/>
            <w:vAlign w:val="center"/>
          </w:tcPr>
          <w:p w14:paraId="7F61372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7E3A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16CAB417">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E2FBEB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市容巡查</w:t>
            </w:r>
          </w:p>
        </w:tc>
        <w:tc>
          <w:tcPr>
            <w:tcW w:w="2005" w:type="pct"/>
            <w:shd w:val="clear" w:color="auto" w:fill="auto"/>
            <w:vAlign w:val="center"/>
          </w:tcPr>
          <w:p w14:paraId="106F787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高空视角巡查主次干道、背街小巷，识别暴露垃圾、城市扬尘、占道经营、乱堆乱放、违规设置户外广告等问题。</w:t>
            </w:r>
          </w:p>
        </w:tc>
        <w:tc>
          <w:tcPr>
            <w:tcW w:w="856" w:type="pct"/>
            <w:shd w:val="clear" w:color="auto" w:fill="auto"/>
            <w:vAlign w:val="center"/>
          </w:tcPr>
          <w:p w14:paraId="05F5212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按需调度</w:t>
            </w:r>
          </w:p>
        </w:tc>
      </w:tr>
      <w:tr w14:paraId="7D7A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176E1669">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2A49C2E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绿化绿地侵占巡查</w:t>
            </w:r>
          </w:p>
        </w:tc>
        <w:tc>
          <w:tcPr>
            <w:tcW w:w="2005" w:type="pct"/>
            <w:shd w:val="clear" w:color="auto" w:fill="auto"/>
            <w:vAlign w:val="center"/>
          </w:tcPr>
          <w:p w14:paraId="7C1D53B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利用高空视角对公共绿地、道路绿化带进行全覆盖排查，重点核查是否存在堆放弃物、损毁苗木、圈占绿地等侵占破坏行为精准记录违规点位位置、范围及现场实况为绿化管护、违法整治提供清晰影像证据反馈至综合执法大队。</w:t>
            </w:r>
          </w:p>
        </w:tc>
        <w:tc>
          <w:tcPr>
            <w:tcW w:w="856" w:type="pct"/>
            <w:shd w:val="clear" w:color="auto" w:fill="auto"/>
            <w:vAlign w:val="center"/>
          </w:tcPr>
          <w:p w14:paraId="0EB24E29">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17C1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38B0619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3B18A8A9">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市政设施损毁监测</w:t>
            </w:r>
          </w:p>
        </w:tc>
        <w:tc>
          <w:tcPr>
            <w:tcW w:w="2005" w:type="pct"/>
            <w:shd w:val="clear" w:color="auto" w:fill="auto"/>
            <w:vAlign w:val="center"/>
          </w:tcPr>
          <w:p w14:paraId="3438B586">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对城区重点区域识别桥梁结构、护栏损坏井盖缺失、树木倒伏等问题。</w:t>
            </w:r>
          </w:p>
        </w:tc>
        <w:tc>
          <w:tcPr>
            <w:tcW w:w="856" w:type="pct"/>
            <w:shd w:val="clear" w:color="auto" w:fill="auto"/>
            <w:vAlign w:val="center"/>
          </w:tcPr>
          <w:p w14:paraId="454AA0F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1200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477DC452">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九、</w:t>
            </w:r>
            <w:r>
              <w:rPr>
                <w:rFonts w:hint="eastAsia" w:ascii="仿宋_GB2312" w:hAnsi="仿宋_GB2312" w:eastAsia="仿宋_GB2312" w:cs="仿宋_GB2312"/>
                <w:color w:val="auto"/>
                <w:kern w:val="2"/>
                <w:sz w:val="20"/>
                <w:szCs w:val="20"/>
                <w:highlight w:val="none"/>
              </w:rPr>
              <w:t>生态环境</w:t>
            </w:r>
          </w:p>
        </w:tc>
        <w:tc>
          <w:tcPr>
            <w:tcW w:w="1484" w:type="pct"/>
            <w:shd w:val="clear" w:color="auto" w:fill="auto"/>
            <w:vAlign w:val="center"/>
          </w:tcPr>
          <w:p w14:paraId="13ED36C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畜禽养殖场环保监管</w:t>
            </w:r>
          </w:p>
        </w:tc>
        <w:tc>
          <w:tcPr>
            <w:tcW w:w="2005" w:type="pct"/>
            <w:shd w:val="clear" w:color="auto" w:fill="auto"/>
            <w:vAlign w:val="center"/>
          </w:tcPr>
          <w:p w14:paraId="13DFB00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对规模化养殖场区域进行巡查，识别粪污露天堆放、直排偷排等违规行为。</w:t>
            </w:r>
          </w:p>
        </w:tc>
        <w:tc>
          <w:tcPr>
            <w:tcW w:w="856" w:type="pct"/>
            <w:shd w:val="clear" w:color="auto" w:fill="auto"/>
            <w:vAlign w:val="center"/>
          </w:tcPr>
          <w:p w14:paraId="4758C35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3B39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129ABBB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3D2AFA0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污染源溯源</w:t>
            </w:r>
          </w:p>
        </w:tc>
        <w:tc>
          <w:tcPr>
            <w:tcW w:w="2005" w:type="pct"/>
            <w:shd w:val="clear" w:color="auto" w:fill="auto"/>
            <w:vAlign w:val="center"/>
          </w:tcPr>
          <w:p w14:paraId="46138B8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搭载热成像仪，对工业园区、信访投诉点周边进行网格化飞行，快速定位异常排放口、异味源或隐蔽排污点。高清拍摄固定证据。</w:t>
            </w:r>
          </w:p>
        </w:tc>
        <w:tc>
          <w:tcPr>
            <w:tcW w:w="856" w:type="pct"/>
            <w:shd w:val="clear" w:color="auto" w:fill="auto"/>
            <w:vAlign w:val="center"/>
          </w:tcPr>
          <w:p w14:paraId="2EB2F5B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4D7D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111E1A1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68D43C36">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自然资源保护地巡查</w:t>
            </w:r>
          </w:p>
        </w:tc>
        <w:tc>
          <w:tcPr>
            <w:tcW w:w="2005" w:type="pct"/>
            <w:shd w:val="clear" w:color="auto" w:fill="auto"/>
            <w:vAlign w:val="center"/>
          </w:tcPr>
          <w:p w14:paraId="13A5A136">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对自然保护区、饮用水源地等范围进行巡查，识别违规进人、非法建设、盗猎等行为。</w:t>
            </w:r>
          </w:p>
        </w:tc>
        <w:tc>
          <w:tcPr>
            <w:tcW w:w="856" w:type="pct"/>
            <w:shd w:val="clear" w:color="auto" w:fill="auto"/>
            <w:vAlign w:val="center"/>
          </w:tcPr>
          <w:p w14:paraId="6A03615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每周1次</w:t>
            </w:r>
          </w:p>
        </w:tc>
      </w:tr>
      <w:tr w14:paraId="1EE1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restart"/>
          </w:tcPr>
          <w:p w14:paraId="17A6CEF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十、</w:t>
            </w:r>
            <w:r>
              <w:rPr>
                <w:rFonts w:hint="eastAsia" w:ascii="仿宋_GB2312" w:hAnsi="仿宋_GB2312" w:eastAsia="仿宋_GB2312" w:cs="仿宋_GB2312"/>
                <w:color w:val="auto"/>
                <w:kern w:val="2"/>
                <w:sz w:val="20"/>
                <w:szCs w:val="20"/>
                <w:highlight w:val="none"/>
              </w:rPr>
              <w:t>住建</w:t>
            </w:r>
          </w:p>
        </w:tc>
        <w:tc>
          <w:tcPr>
            <w:tcW w:w="1484" w:type="pct"/>
            <w:shd w:val="clear" w:color="auto" w:fill="auto"/>
            <w:vAlign w:val="center"/>
          </w:tcPr>
          <w:p w14:paraId="576D461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危房巡查</w:t>
            </w:r>
          </w:p>
        </w:tc>
        <w:tc>
          <w:tcPr>
            <w:tcW w:w="2005" w:type="pct"/>
            <w:shd w:val="clear" w:color="auto" w:fill="auto"/>
            <w:vAlign w:val="center"/>
          </w:tcPr>
          <w:p w14:paraId="485685B1">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对辖区内危房进行巡查，识别是否有违规入住、违规改造等行为。</w:t>
            </w:r>
          </w:p>
        </w:tc>
        <w:tc>
          <w:tcPr>
            <w:tcW w:w="856" w:type="pct"/>
            <w:shd w:val="clear" w:color="auto" w:fill="auto"/>
            <w:vAlign w:val="center"/>
          </w:tcPr>
          <w:p w14:paraId="0C4A9DD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每月一次</w:t>
            </w:r>
          </w:p>
        </w:tc>
      </w:tr>
      <w:tr w14:paraId="216A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6D467AA4">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16C96D71">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农村建房巡查</w:t>
            </w:r>
          </w:p>
        </w:tc>
        <w:tc>
          <w:tcPr>
            <w:tcW w:w="2005" w:type="pct"/>
            <w:shd w:val="clear" w:color="auto" w:fill="auto"/>
            <w:vAlign w:val="center"/>
          </w:tcPr>
          <w:p w14:paraId="172A4EE9">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对农村建房进行巡查，识别是否合法建房、安全作业等。</w:t>
            </w:r>
          </w:p>
        </w:tc>
        <w:tc>
          <w:tcPr>
            <w:tcW w:w="856" w:type="pct"/>
            <w:shd w:val="clear" w:color="auto" w:fill="auto"/>
            <w:vAlign w:val="center"/>
          </w:tcPr>
          <w:p w14:paraId="76EA60D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每月一次</w:t>
            </w:r>
          </w:p>
        </w:tc>
      </w:tr>
      <w:tr w14:paraId="46AA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522C7D3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6E24212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在建项目巡查</w:t>
            </w:r>
          </w:p>
        </w:tc>
        <w:tc>
          <w:tcPr>
            <w:tcW w:w="2005" w:type="pct"/>
            <w:shd w:val="clear" w:color="auto" w:fill="auto"/>
            <w:vAlign w:val="center"/>
          </w:tcPr>
          <w:p w14:paraId="316E274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对房地产开发、场馆建设、市政工程等项目进行巡查，识别违规作业等情形，并辅助跟进项目施工进度。</w:t>
            </w:r>
          </w:p>
        </w:tc>
        <w:tc>
          <w:tcPr>
            <w:tcW w:w="856" w:type="pct"/>
            <w:shd w:val="clear" w:color="auto" w:fill="auto"/>
            <w:vAlign w:val="center"/>
          </w:tcPr>
          <w:p w14:paraId="546F7C01">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按需派单</w:t>
            </w:r>
          </w:p>
        </w:tc>
      </w:tr>
      <w:tr w14:paraId="6C89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2293782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E634B1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在建项目监测</w:t>
            </w:r>
          </w:p>
        </w:tc>
        <w:tc>
          <w:tcPr>
            <w:tcW w:w="2005" w:type="pct"/>
            <w:shd w:val="clear" w:color="auto" w:fill="auto"/>
            <w:vAlign w:val="center"/>
          </w:tcPr>
          <w:p w14:paraId="16C5C3C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项目实施过程中，对项目所在范围进行定期航测，与施工范围线进行比对，识别是否越界开发；项目完工后，通过采集二维模型，为项目竣工、结算等提供直观准确的地理信息数据。</w:t>
            </w:r>
          </w:p>
        </w:tc>
        <w:tc>
          <w:tcPr>
            <w:tcW w:w="856" w:type="pct"/>
            <w:shd w:val="clear" w:color="auto" w:fill="auto"/>
            <w:vAlign w:val="center"/>
          </w:tcPr>
          <w:p w14:paraId="6B7B83E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按需派单</w:t>
            </w:r>
          </w:p>
        </w:tc>
      </w:tr>
      <w:tr w14:paraId="00FF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2C68390C">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3AE4320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燃气管网巡查</w:t>
            </w:r>
          </w:p>
        </w:tc>
        <w:tc>
          <w:tcPr>
            <w:tcW w:w="2005" w:type="pct"/>
            <w:shd w:val="clear" w:color="auto" w:fill="auto"/>
            <w:vAlign w:val="center"/>
          </w:tcPr>
          <w:p w14:paraId="51A5D5C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覆盖城区主干道、次干道、支路下方埋地燃气管网对应地面区域，重点巡查管网上方地面沉降、路面破损、违规占压等情况。包括老旧小区、新建小区的庭院燃气管网、楼栋立管及训压设施周边，兼顾小区内施工工地与燃气管网的安全间距范围</w:t>
            </w:r>
          </w:p>
        </w:tc>
        <w:tc>
          <w:tcPr>
            <w:tcW w:w="856" w:type="pct"/>
            <w:shd w:val="clear" w:color="auto" w:fill="auto"/>
            <w:vAlign w:val="center"/>
          </w:tcPr>
          <w:p w14:paraId="0442395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每月一次</w:t>
            </w:r>
          </w:p>
        </w:tc>
      </w:tr>
      <w:tr w14:paraId="6CF8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1EE8AB3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298E603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村镇建设巡查</w:t>
            </w:r>
          </w:p>
        </w:tc>
        <w:tc>
          <w:tcPr>
            <w:tcW w:w="2005" w:type="pct"/>
            <w:shd w:val="clear" w:color="auto" w:fill="auto"/>
            <w:vAlign w:val="center"/>
          </w:tcPr>
          <w:p w14:paraId="3AD7A9F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乡镇传统风貌区域</w:t>
            </w:r>
          </w:p>
        </w:tc>
        <w:tc>
          <w:tcPr>
            <w:tcW w:w="856" w:type="pct"/>
            <w:shd w:val="clear" w:color="auto" w:fill="auto"/>
            <w:vAlign w:val="center"/>
          </w:tcPr>
          <w:p w14:paraId="7F49BAE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每季度一次</w:t>
            </w:r>
          </w:p>
        </w:tc>
      </w:tr>
      <w:tr w14:paraId="48ED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4A3CD2E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284BCC6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村镇建设巡查</w:t>
            </w:r>
          </w:p>
        </w:tc>
        <w:tc>
          <w:tcPr>
            <w:tcW w:w="2005" w:type="pct"/>
            <w:shd w:val="clear" w:color="auto" w:fill="auto"/>
            <w:vAlign w:val="center"/>
          </w:tcPr>
          <w:p w14:paraId="6D548F4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村容村貌全域管控区</w:t>
            </w:r>
          </w:p>
        </w:tc>
        <w:tc>
          <w:tcPr>
            <w:tcW w:w="856" w:type="pct"/>
            <w:shd w:val="clear" w:color="auto" w:fill="auto"/>
            <w:vAlign w:val="center"/>
          </w:tcPr>
          <w:p w14:paraId="41245E9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按需派单</w:t>
            </w:r>
          </w:p>
        </w:tc>
      </w:tr>
      <w:tr w14:paraId="011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restart"/>
          </w:tcPr>
          <w:p w14:paraId="3498554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r>
              <w:rPr>
                <w:rFonts w:hint="eastAsia" w:ascii="仿宋_GB2312" w:hAnsi="仿宋_GB2312" w:eastAsia="仿宋_GB2312" w:cs="仿宋_GB2312"/>
                <w:color w:val="auto"/>
                <w:kern w:val="2"/>
                <w:sz w:val="20"/>
                <w:szCs w:val="20"/>
                <w:highlight w:val="none"/>
                <w:lang w:val="en-US" w:eastAsia="zh-CN"/>
              </w:rPr>
              <w:t>十一、</w:t>
            </w:r>
            <w:r>
              <w:rPr>
                <w:rFonts w:hint="eastAsia" w:ascii="仿宋_GB2312" w:hAnsi="仿宋_GB2312" w:eastAsia="仿宋_GB2312" w:cs="仿宋_GB2312"/>
                <w:color w:val="auto"/>
                <w:kern w:val="2"/>
                <w:sz w:val="20"/>
                <w:szCs w:val="20"/>
                <w:highlight w:val="none"/>
              </w:rPr>
              <w:t>交通管理大队</w:t>
            </w:r>
          </w:p>
        </w:tc>
        <w:tc>
          <w:tcPr>
            <w:tcW w:w="1484" w:type="pct"/>
            <w:shd w:val="clear" w:color="auto" w:fill="auto"/>
            <w:vAlign w:val="center"/>
          </w:tcPr>
          <w:p w14:paraId="0ADC0C81">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无死角抓拍</w:t>
            </w:r>
          </w:p>
        </w:tc>
        <w:tc>
          <w:tcPr>
            <w:tcW w:w="2005" w:type="pct"/>
            <w:shd w:val="clear" w:color="auto" w:fill="auto"/>
            <w:vAlign w:val="center"/>
          </w:tcPr>
          <w:p w14:paraId="59AFD46A">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覆盖县城城区主次干道、乡镇集市、城市快速道路、郊区公路、国省道、乡村道路、高架、应急车道、郊区公路等监控盲区，精准抓拍违停、逆行、不戴头盔、货车闯禁等，实时回传证据</w:t>
            </w:r>
          </w:p>
        </w:tc>
        <w:tc>
          <w:tcPr>
            <w:tcW w:w="856" w:type="pct"/>
            <w:shd w:val="clear" w:color="auto" w:fill="auto"/>
            <w:vAlign w:val="center"/>
          </w:tcPr>
          <w:p w14:paraId="4537574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275B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08B669C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7889919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远程劝导</w:t>
            </w:r>
          </w:p>
        </w:tc>
        <w:tc>
          <w:tcPr>
            <w:tcW w:w="2005" w:type="pct"/>
            <w:shd w:val="clear" w:color="auto" w:fill="auto"/>
            <w:vAlign w:val="center"/>
          </w:tcPr>
          <w:p w14:paraId="311D91D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
                <w:bCs w:val="0"/>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搭载扩音设备，对县城城区主次干道、乡镇集市、城市快速道路、郊区公路、国省道、乡村道路现场喊话警示，减少现场警力投入</w:t>
            </w:r>
          </w:p>
        </w:tc>
        <w:tc>
          <w:tcPr>
            <w:tcW w:w="856" w:type="pct"/>
            <w:shd w:val="clear" w:color="auto" w:fill="auto"/>
            <w:vAlign w:val="center"/>
          </w:tcPr>
          <w:p w14:paraId="4468F6F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2762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043E631F">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297EB4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联动处置</w:t>
            </w:r>
          </w:p>
        </w:tc>
        <w:tc>
          <w:tcPr>
            <w:tcW w:w="2005" w:type="pct"/>
            <w:shd w:val="clear" w:color="auto" w:fill="auto"/>
            <w:vAlign w:val="center"/>
          </w:tcPr>
          <w:p w14:paraId="1A5AC07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县城城区主次干道、乡镇集市、城市快速道路、郊区公路、国省道、乡村道路现场实行“空中抓拍+后台核处+地面拦截”，快速锁定违法车辆，提升查处效率流量实时监测，高空俯瞰车流，标注堵点，指挥中心精准调度铁骑快速打通堵点</w:t>
            </w:r>
          </w:p>
        </w:tc>
        <w:tc>
          <w:tcPr>
            <w:tcW w:w="856" w:type="pct"/>
            <w:shd w:val="clear" w:color="auto" w:fill="auto"/>
            <w:vAlign w:val="center"/>
          </w:tcPr>
          <w:p w14:paraId="386334E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4E8A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7D249020">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3BA6A000">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高峰勤务</w:t>
            </w:r>
          </w:p>
        </w:tc>
        <w:tc>
          <w:tcPr>
            <w:tcW w:w="2005" w:type="pct"/>
            <w:shd w:val="clear" w:color="auto" w:fill="auto"/>
            <w:vAlign w:val="center"/>
          </w:tcPr>
          <w:p w14:paraId="5970CD4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对县城城区主次干道、乡镇集市、城市快速道路、郊区公路、国省道、乡村道路现场实行早晚高峰常态化巡飞，提前预警缓行，避免拥堵扩散</w:t>
            </w:r>
          </w:p>
        </w:tc>
        <w:tc>
          <w:tcPr>
            <w:tcW w:w="856" w:type="pct"/>
            <w:shd w:val="clear" w:color="auto" w:fill="auto"/>
            <w:vAlign w:val="center"/>
          </w:tcPr>
          <w:p w14:paraId="4C68D56D">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38D4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3F6B243A">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460DB121">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应急疏导</w:t>
            </w:r>
          </w:p>
        </w:tc>
        <w:tc>
          <w:tcPr>
            <w:tcW w:w="2005" w:type="pct"/>
            <w:shd w:val="clear" w:color="auto" w:fill="auto"/>
            <w:vAlign w:val="center"/>
          </w:tcPr>
          <w:p w14:paraId="014A57C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快速飞抵事故，故障点，喊话引导撤离或绕行，防止二次事故跟拥堵（覆盖县城城区主次干道、乡镇集市、城市快速道路、郊区公路、国省道、乡村道路现场）</w:t>
            </w:r>
          </w:p>
        </w:tc>
        <w:tc>
          <w:tcPr>
            <w:tcW w:w="856" w:type="pct"/>
            <w:shd w:val="clear" w:color="auto" w:fill="auto"/>
            <w:vAlign w:val="center"/>
          </w:tcPr>
          <w:p w14:paraId="4B23FC7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0663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0814D973">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4995D45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快勘存证</w:t>
            </w:r>
          </w:p>
        </w:tc>
        <w:tc>
          <w:tcPr>
            <w:tcW w:w="2005" w:type="pct"/>
            <w:shd w:val="clear" w:color="auto" w:fill="auto"/>
            <w:vAlign w:val="center"/>
          </w:tcPr>
          <w:p w14:paraId="20B2D67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对县城城区主次干道、乡镇集市、城市快速道路、郊区公路、国省道、乡村道路现场进行快速勘定，高清摄录、一键成图，固定痕迹物证，效率提升</w:t>
            </w:r>
          </w:p>
        </w:tc>
        <w:tc>
          <w:tcPr>
            <w:tcW w:w="856" w:type="pct"/>
            <w:shd w:val="clear" w:color="auto" w:fill="auto"/>
            <w:vAlign w:val="center"/>
          </w:tcPr>
          <w:p w14:paraId="20D4F32B">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4BA5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516F6B9E">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0E7E7EE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事故快处与现场勘查</w:t>
            </w:r>
          </w:p>
        </w:tc>
        <w:tc>
          <w:tcPr>
            <w:tcW w:w="2005" w:type="pct"/>
            <w:shd w:val="clear" w:color="auto" w:fill="auto"/>
            <w:vAlign w:val="center"/>
          </w:tcPr>
          <w:p w14:paraId="085E27D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县城城区主次干道、乡镇集市、城市快速道路、郊区公路、国省道、乡村道路现场交通事故快撤保通，简易事故引导当事人先撤离，减少占道时长，降低二次事故风险；复杂事故，高空建模与测量，为责任认定提供客观依据</w:t>
            </w:r>
          </w:p>
        </w:tc>
        <w:tc>
          <w:tcPr>
            <w:tcW w:w="856" w:type="pct"/>
            <w:shd w:val="clear" w:color="auto" w:fill="auto"/>
            <w:vAlign w:val="center"/>
          </w:tcPr>
          <w:p w14:paraId="30D1024C">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0848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3D6EB988">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2062187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大型安保与应急管控</w:t>
            </w:r>
          </w:p>
        </w:tc>
        <w:tc>
          <w:tcPr>
            <w:tcW w:w="2005" w:type="pct"/>
            <w:shd w:val="clear" w:color="auto" w:fill="auto"/>
            <w:vAlign w:val="center"/>
          </w:tcPr>
          <w:p w14:paraId="562190A2">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大型安保与应急管控，活动保障覆盖商圈、景区、考场周边，实时监测人流车流，远程疏导，保障通道畅通</w:t>
            </w:r>
          </w:p>
        </w:tc>
        <w:tc>
          <w:tcPr>
            <w:tcW w:w="856" w:type="pct"/>
            <w:shd w:val="clear" w:color="auto" w:fill="auto"/>
            <w:vAlign w:val="center"/>
          </w:tcPr>
          <w:p w14:paraId="25C19B4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2E9F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4" w:type="pct"/>
            <w:vMerge w:val="continue"/>
          </w:tcPr>
          <w:p w14:paraId="38E49E0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555AA57E">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应急处突</w:t>
            </w:r>
          </w:p>
        </w:tc>
        <w:tc>
          <w:tcPr>
            <w:tcW w:w="2005" w:type="pct"/>
            <w:shd w:val="clear" w:color="auto" w:fill="auto"/>
            <w:vAlign w:val="center"/>
          </w:tcPr>
          <w:p w14:paraId="2A2C5F6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在县城城区主次干道、乡镇集市、城市快速道路、郊区公路、国省道、乡村道路范围内发生应急事件时快速飞赴积水、火灾、危化品泄漏等现场，回传画面，辅助跨部门联动处置</w:t>
            </w:r>
          </w:p>
        </w:tc>
        <w:tc>
          <w:tcPr>
            <w:tcW w:w="856" w:type="pct"/>
            <w:shd w:val="clear" w:color="auto" w:fill="auto"/>
            <w:vAlign w:val="center"/>
          </w:tcPr>
          <w:p w14:paraId="23B9D9D5">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6F5E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5972BECD">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6B81863F">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夜间防控</w:t>
            </w:r>
          </w:p>
        </w:tc>
        <w:tc>
          <w:tcPr>
            <w:tcW w:w="2005" w:type="pct"/>
            <w:shd w:val="clear" w:color="auto" w:fill="auto"/>
            <w:vAlign w:val="center"/>
          </w:tcPr>
          <w:p w14:paraId="4205A4C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在县城城区主次干道、乡镇集市、城市快速道路、郊区公路、国省道、乡村道路现场搭载热成像/爆闪灯，震慑“炸街”“飙车”等违法行为</w:t>
            </w:r>
          </w:p>
        </w:tc>
        <w:tc>
          <w:tcPr>
            <w:tcW w:w="856" w:type="pct"/>
            <w:shd w:val="clear" w:color="auto" w:fill="auto"/>
            <w:vAlign w:val="center"/>
          </w:tcPr>
          <w:p w14:paraId="68F97376">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6423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56E65581">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24D8C3E4">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交通研判与设施优化</w:t>
            </w:r>
          </w:p>
        </w:tc>
        <w:tc>
          <w:tcPr>
            <w:tcW w:w="2005" w:type="pct"/>
            <w:shd w:val="clear" w:color="auto" w:fill="auto"/>
            <w:vAlign w:val="center"/>
          </w:tcPr>
          <w:p w14:paraId="3B0261D7">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在县城城区主次干道、乡镇集市、城市快速道路、郊区公路、国省道、乡村道路现场隐患排查，航拍事故多发路段，发现护栏缺损、边坡隐患等，为整改提供实景支撑</w:t>
            </w:r>
          </w:p>
        </w:tc>
        <w:tc>
          <w:tcPr>
            <w:tcW w:w="856" w:type="pct"/>
            <w:shd w:val="clear" w:color="auto" w:fill="auto"/>
            <w:vAlign w:val="center"/>
          </w:tcPr>
          <w:p w14:paraId="3E9BD249">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r w14:paraId="17D9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vMerge w:val="continue"/>
          </w:tcPr>
          <w:p w14:paraId="28FD3F45">
            <w:pPr>
              <w:keepNext w:val="0"/>
              <w:keepLines w:val="0"/>
              <w:pageBreakBefore w:val="0"/>
              <w:widowControl w:val="0"/>
              <w:kinsoku/>
              <w:wordWrap/>
              <w:overflowPunct/>
              <w:topLinePunct w:val="0"/>
              <w:autoSpaceDE/>
              <w:autoSpaceDN/>
              <w:bidi w:val="0"/>
              <w:adjustRightInd/>
              <w:spacing w:line="280" w:lineRule="exact"/>
              <w:jc w:val="center"/>
              <w:textAlignment w:val="auto"/>
              <w:rPr>
                <w:rFonts w:hint="eastAsia" w:ascii="仿宋_GB2312" w:hAnsi="仿宋_GB2312" w:eastAsia="仿宋_GB2312" w:cs="仿宋_GB2312"/>
                <w:b/>
                <w:color w:val="auto"/>
                <w:kern w:val="2"/>
                <w:sz w:val="20"/>
                <w:szCs w:val="20"/>
                <w:highlight w:val="none"/>
              </w:rPr>
            </w:pPr>
          </w:p>
        </w:tc>
        <w:tc>
          <w:tcPr>
            <w:tcW w:w="1484" w:type="pct"/>
            <w:shd w:val="clear" w:color="auto" w:fill="auto"/>
            <w:vAlign w:val="center"/>
          </w:tcPr>
          <w:p w14:paraId="5D08C54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数据赋能</w:t>
            </w:r>
          </w:p>
        </w:tc>
        <w:tc>
          <w:tcPr>
            <w:tcW w:w="2005" w:type="pct"/>
            <w:shd w:val="clear" w:color="auto" w:fill="auto"/>
            <w:vAlign w:val="center"/>
          </w:tcPr>
          <w:p w14:paraId="51682C83">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对县城城区主次干道、乡镇集市、城市快速道路、郊区公路、国省道、乡村道路现场采集流量、排队长度、瓶颈节点等，辅助路口渠化、信号配时优化</w:t>
            </w:r>
          </w:p>
        </w:tc>
        <w:tc>
          <w:tcPr>
            <w:tcW w:w="856" w:type="pct"/>
            <w:shd w:val="clear" w:color="auto" w:fill="auto"/>
            <w:vAlign w:val="center"/>
          </w:tcPr>
          <w:p w14:paraId="0840F168">
            <w:pPr>
              <w:keepNext w:val="0"/>
              <w:keepLines w:val="0"/>
              <w:pageBreakBefore w:val="0"/>
              <w:widowControl w:val="0"/>
              <w:kinsoku/>
              <w:wordWrap/>
              <w:overflowPunct/>
              <w:topLinePunct w:val="0"/>
              <w:autoSpaceDE/>
              <w:autoSpaceDN/>
              <w:bidi w:val="0"/>
              <w:adjustRightInd/>
              <w:snapToGrid w:val="0"/>
              <w:spacing w:before="0" w:beforeLines="0" w:after="0" w:afterLines="0" w:line="280" w:lineRule="exact"/>
              <w:ind w:firstLine="0" w:firstLineChars="0"/>
              <w:jc w:val="left"/>
              <w:textAlignment w:val="auto"/>
              <w:rPr>
                <w:rFonts w:hint="eastAsia" w:ascii="仿宋_GB2312" w:hAnsi="仿宋_GB2312" w:eastAsia="仿宋_GB2312" w:cs="仿宋_GB2312"/>
                <w:bCs/>
                <w:color w:val="auto"/>
                <w:kern w:val="2"/>
                <w:sz w:val="20"/>
                <w:szCs w:val="20"/>
                <w:highlight w:val="none"/>
                <w:u w:val="none"/>
                <w:lang w:val="en-US" w:eastAsia="zh-CN" w:bidi="ar-SA"/>
              </w:rPr>
            </w:pPr>
            <w:r>
              <w:rPr>
                <w:rFonts w:hint="eastAsia" w:ascii="仿宋_GB2312" w:hAnsi="仿宋_GB2312" w:eastAsia="仿宋_GB2312" w:cs="仿宋_GB2312"/>
                <w:bCs/>
                <w:color w:val="auto"/>
                <w:kern w:val="2"/>
                <w:sz w:val="20"/>
                <w:szCs w:val="20"/>
                <w:highlight w:val="none"/>
                <w:u w:val="none"/>
                <w:lang w:val="en-US" w:eastAsia="zh-CN" w:bidi="ar-SA"/>
              </w:rPr>
              <w:t>7x24小时、按需派单</w:t>
            </w:r>
          </w:p>
        </w:tc>
      </w:tr>
    </w:tbl>
    <w:p w14:paraId="4AD3AC65">
      <w:pPr>
        <w:ind w:right="36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（二）服务支撑系统要求（权属归投标人所有）</w:t>
      </w:r>
    </w:p>
    <w:p w14:paraId="4BA7D4FB">
      <w:pPr>
        <w:ind w:right="360" w:firstLine="418"/>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1.硬件设备要求</w:t>
      </w:r>
    </w:p>
    <w:p w14:paraId="3D0101FE">
      <w:pPr>
        <w:ind w:right="360" w:firstLine="418"/>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【★2】</w:t>
      </w:r>
      <w:r>
        <w:rPr>
          <w:rFonts w:hint="eastAsia" w:ascii="仿宋_GB2312" w:hAnsi="仿宋_GB2312" w:eastAsia="仿宋_GB2312" w:cs="仿宋_GB2312"/>
          <w:b/>
          <w:color w:val="000000"/>
          <w:sz w:val="20"/>
          <w:highlight w:val="none"/>
          <w:lang w:val="en-US" w:eastAsia="zh-Hans"/>
        </w:rPr>
        <w:t>为满足“5分钟”应急响应及长时间作业，供应商至少需要在</w:t>
      </w:r>
      <w:r>
        <w:rPr>
          <w:rFonts w:hint="eastAsia" w:ascii="仿宋_GB2312" w:hAnsi="仿宋_GB2312" w:eastAsia="仿宋_GB2312" w:cs="仿宋_GB2312"/>
          <w:b/>
          <w:color w:val="000000"/>
          <w:sz w:val="20"/>
          <w:highlight w:val="none"/>
          <w:lang w:val="en-US" w:eastAsia="zh-CN"/>
        </w:rPr>
        <w:t>尤溪县</w:t>
      </w:r>
      <w:r>
        <w:rPr>
          <w:rFonts w:hint="eastAsia" w:ascii="仿宋_GB2312" w:hAnsi="仿宋_GB2312" w:eastAsia="仿宋_GB2312" w:cs="仿宋_GB2312"/>
          <w:b/>
          <w:color w:val="000000"/>
          <w:sz w:val="20"/>
          <w:highlight w:val="none"/>
          <w:lang w:val="en-US" w:eastAsia="zh-Hans"/>
        </w:rPr>
        <w:t>部署</w:t>
      </w:r>
      <w:r>
        <w:rPr>
          <w:rFonts w:hint="eastAsia" w:ascii="仿宋_GB2312" w:hAnsi="仿宋_GB2312" w:eastAsia="仿宋_GB2312" w:cs="仿宋_GB2312"/>
          <w:b/>
          <w:color w:val="000000"/>
          <w:sz w:val="20"/>
          <w:highlight w:val="none"/>
          <w:lang w:val="en-US" w:eastAsia="zh-CN"/>
        </w:rPr>
        <w:t>18</w:t>
      </w:r>
      <w:r>
        <w:rPr>
          <w:rFonts w:hint="eastAsia" w:ascii="仿宋_GB2312" w:hAnsi="仿宋_GB2312" w:eastAsia="仿宋_GB2312" w:cs="仿宋_GB2312"/>
          <w:b/>
          <w:color w:val="000000"/>
          <w:sz w:val="20"/>
          <w:highlight w:val="none"/>
          <w:lang w:val="en-US" w:eastAsia="zh-Hans"/>
        </w:rPr>
        <w:t>套智能无人机机库（包含无人机）及设备配套保障等内容。（投标人须针对本项提供专项承诺函，否则投标文件无效）</w:t>
      </w:r>
    </w:p>
    <w:p w14:paraId="542D2F15">
      <w:pPr>
        <w:ind w:firstLine="21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本项目拟提供的机库版无人机硬件设备清单如下：</w:t>
      </w:r>
    </w:p>
    <w:p w14:paraId="1F171987">
      <w:pPr>
        <w:ind w:firstLine="21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 xml:space="preserve">  1.1无人机机库</w:t>
      </w:r>
    </w:p>
    <w:p w14:paraId="17A6D60C">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【★3】</w:t>
      </w:r>
      <w:r>
        <w:rPr>
          <w:rFonts w:hint="eastAsia" w:ascii="仿宋_GB2312" w:hAnsi="仿宋_GB2312" w:eastAsia="仿宋_GB2312" w:cs="仿宋_GB2312"/>
          <w:b/>
          <w:color w:val="000000"/>
          <w:sz w:val="20"/>
          <w:highlight w:val="none"/>
          <w:lang w:val="en-US" w:eastAsia="zh-Hans"/>
        </w:rPr>
        <w:t>可容纳电池数量≥4块（须提国家认可的第三方检测机构出具的检测报告佐证）；</w:t>
      </w:r>
    </w:p>
    <w:p w14:paraId="370BF177">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【▲1】</w:t>
      </w:r>
      <w:r>
        <w:rPr>
          <w:rFonts w:hint="eastAsia" w:ascii="仿宋_GB2312" w:hAnsi="仿宋_GB2312" w:eastAsia="仿宋_GB2312" w:cs="仿宋_GB2312"/>
          <w:b/>
          <w:color w:val="000000"/>
          <w:sz w:val="20"/>
          <w:highlight w:val="none"/>
          <w:lang w:val="en-US" w:eastAsia="zh-Hans"/>
        </w:rPr>
        <w:t>无人机电池更换方式：支持自动更换电池（须提国家认可的第三方检测机构出具的检测报告佐证）；</w:t>
      </w:r>
    </w:p>
    <w:p w14:paraId="19D71218">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【▲2】作业方式：全自动；</w:t>
      </w:r>
    </w:p>
    <w:p w14:paraId="0542E296">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【指标1】自动换电时间≤50S；</w:t>
      </w:r>
    </w:p>
    <w:p w14:paraId="65FB7879">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【指标2】无人机收纳数量≥1架；</w:t>
      </w:r>
    </w:p>
    <w:p w14:paraId="0754477A">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【指标3】作业间隔周期：降落后再次起飞时间≤3分钟；</w:t>
      </w:r>
    </w:p>
    <w:p w14:paraId="765AE7C1">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【▲3】最大作业半径≥10km（须提国家认可的第三方检测机构出具的检测报告佐证）；</w:t>
      </w:r>
    </w:p>
    <w:p w14:paraId="1B487FD5">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1.2无人机</w:t>
      </w:r>
    </w:p>
    <w:p w14:paraId="1EFBFD62">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【▲4】</w:t>
      </w:r>
      <w:r>
        <w:rPr>
          <w:rFonts w:hint="eastAsia" w:ascii="仿宋_GB2312" w:hAnsi="仿宋_GB2312" w:eastAsia="仿宋_GB2312" w:cs="仿宋_GB2312"/>
          <w:b/>
          <w:color w:val="000000"/>
          <w:sz w:val="20"/>
          <w:highlight w:val="none"/>
          <w:lang w:val="en-US" w:eastAsia="zh-Hans"/>
        </w:rPr>
        <w:t>最大载重≥5kg（须提国家认可的第三方检测机构出具的检测报告佐证）；</w:t>
      </w:r>
    </w:p>
    <w:p w14:paraId="72892470">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【指标4】最大起飞重量≤25kg；</w:t>
      </w:r>
    </w:p>
    <w:p w14:paraId="78597DE5">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【指标5】最大水平飞行速度≥15m/s；</w:t>
      </w:r>
    </w:p>
    <w:p w14:paraId="59593994">
      <w:pPr>
        <w:ind w:firstLine="420"/>
        <w:rPr>
          <w:rFonts w:hint="eastAsia" w:ascii="仿宋_GB2312" w:hAnsi="仿宋_GB2312" w:eastAsia="仿宋_GB2312" w:cs="仿宋_GB2312"/>
          <w:color w:val="000000"/>
          <w:sz w:val="20"/>
          <w:highlight w:val="none"/>
          <w:lang w:val="en-US" w:eastAsia="zh-CN"/>
        </w:rPr>
      </w:pPr>
      <w:r>
        <w:rPr>
          <w:rFonts w:hint="eastAsia" w:ascii="仿宋_GB2312" w:hAnsi="仿宋_GB2312" w:eastAsia="仿宋_GB2312" w:cs="仿宋_GB2312"/>
          <w:color w:val="000000"/>
          <w:sz w:val="20"/>
          <w:highlight w:val="none"/>
          <w:lang w:val="en-US" w:eastAsia="zh-Hans"/>
        </w:rPr>
        <w:t>【▲5】</w:t>
      </w:r>
      <w:r>
        <w:rPr>
          <w:rFonts w:hint="eastAsia" w:ascii="仿宋_GB2312" w:hAnsi="仿宋_GB2312" w:eastAsia="仿宋_GB2312" w:cs="仿宋_GB2312"/>
          <w:b/>
          <w:bCs/>
          <w:color w:val="000000"/>
          <w:sz w:val="20"/>
          <w:highlight w:val="none"/>
          <w:lang w:val="en-US" w:eastAsia="zh-Hans"/>
        </w:rPr>
        <w:t>最大飞行时间≥55min</w:t>
      </w:r>
      <w:r>
        <w:rPr>
          <w:rFonts w:hint="eastAsia" w:ascii="仿宋_GB2312" w:hAnsi="仿宋_GB2312" w:eastAsia="仿宋_GB2312" w:cs="仿宋_GB2312"/>
          <w:b/>
          <w:bCs/>
          <w:color w:val="000000"/>
          <w:sz w:val="20"/>
          <w:highlight w:val="none"/>
          <w:lang w:val="en-US" w:eastAsia="zh-CN"/>
        </w:rPr>
        <w:t>（</w:t>
      </w:r>
      <w:r>
        <w:rPr>
          <w:rFonts w:hint="eastAsia" w:ascii="仿宋_GB2312" w:hAnsi="仿宋_GB2312" w:eastAsia="仿宋_GB2312" w:cs="仿宋_GB2312"/>
          <w:b/>
          <w:bCs/>
          <w:color w:val="000000"/>
          <w:sz w:val="20"/>
          <w:highlight w:val="none"/>
          <w:lang w:val="en-US" w:eastAsia="zh-Hans"/>
        </w:rPr>
        <w:t>空载</w:t>
      </w:r>
      <w:r>
        <w:rPr>
          <w:rFonts w:hint="eastAsia" w:ascii="仿宋_GB2312" w:hAnsi="仿宋_GB2312" w:eastAsia="仿宋_GB2312" w:cs="仿宋_GB2312"/>
          <w:b/>
          <w:bCs/>
          <w:color w:val="000000"/>
          <w:sz w:val="20"/>
          <w:highlight w:val="none"/>
          <w:lang w:val="en-US" w:eastAsia="zh-CN"/>
        </w:rPr>
        <w:t>）</w:t>
      </w:r>
      <w:r>
        <w:rPr>
          <w:rFonts w:hint="eastAsia" w:ascii="仿宋_GB2312" w:hAnsi="仿宋_GB2312" w:eastAsia="仿宋_GB2312" w:cs="仿宋_GB2312"/>
          <w:b/>
          <w:bCs/>
          <w:color w:val="000000"/>
          <w:sz w:val="20"/>
          <w:highlight w:val="none"/>
          <w:lang w:val="en-US" w:eastAsia="zh-Hans"/>
        </w:rPr>
        <w:t>；挂载</w:t>
      </w:r>
      <w:r>
        <w:rPr>
          <w:rFonts w:hint="eastAsia" w:ascii="仿宋_GB2312" w:hAnsi="仿宋_GB2312" w:eastAsia="仿宋_GB2312" w:cs="仿宋_GB2312"/>
          <w:b/>
          <w:bCs/>
          <w:color w:val="000000"/>
          <w:sz w:val="20"/>
          <w:highlight w:val="none"/>
          <w:lang w:val="en-US" w:eastAsia="zh-CN"/>
        </w:rPr>
        <w:t>2</w:t>
      </w:r>
      <w:r>
        <w:rPr>
          <w:rFonts w:hint="eastAsia" w:ascii="仿宋_GB2312" w:hAnsi="仿宋_GB2312" w:eastAsia="仿宋_GB2312" w:cs="仿宋_GB2312"/>
          <w:b/>
          <w:bCs/>
          <w:color w:val="000000"/>
          <w:sz w:val="20"/>
          <w:highlight w:val="none"/>
          <w:lang w:val="en-US" w:eastAsia="zh-Hans"/>
        </w:rPr>
        <w:t>.5kg：≥</w:t>
      </w:r>
      <w:r>
        <w:rPr>
          <w:rFonts w:hint="eastAsia" w:ascii="仿宋_GB2312" w:hAnsi="仿宋_GB2312" w:eastAsia="仿宋_GB2312" w:cs="仿宋_GB2312"/>
          <w:b/>
          <w:bCs/>
          <w:color w:val="000000"/>
          <w:sz w:val="20"/>
          <w:highlight w:val="none"/>
          <w:lang w:val="en-US" w:eastAsia="zh-CN"/>
        </w:rPr>
        <w:t>4</w:t>
      </w:r>
      <w:r>
        <w:rPr>
          <w:rFonts w:hint="eastAsia" w:ascii="仿宋_GB2312" w:hAnsi="仿宋_GB2312" w:eastAsia="仿宋_GB2312" w:cs="仿宋_GB2312"/>
          <w:b/>
          <w:bCs/>
          <w:color w:val="000000"/>
          <w:sz w:val="20"/>
          <w:highlight w:val="none"/>
          <w:lang w:val="en-US" w:eastAsia="zh-Hans"/>
        </w:rPr>
        <w:t>5min</w:t>
      </w:r>
      <w:r>
        <w:rPr>
          <w:rFonts w:hint="eastAsia" w:ascii="仿宋_GB2312" w:hAnsi="仿宋_GB2312" w:eastAsia="仿宋_GB2312" w:cs="仿宋_GB2312"/>
          <w:b/>
          <w:color w:val="000000"/>
          <w:sz w:val="20"/>
          <w:highlight w:val="none"/>
          <w:lang w:val="en-US" w:eastAsia="zh-Hans"/>
        </w:rPr>
        <w:t>（须提国家认可的第三方检测机构出具的检测报告佐证）；</w:t>
      </w:r>
    </w:p>
    <w:p w14:paraId="587663C5">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【指标6】IP防护等级：不低于IP54；</w:t>
      </w:r>
    </w:p>
    <w:p w14:paraId="2FCFAA39">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1.3双光吊舱</w:t>
      </w:r>
    </w:p>
    <w:p w14:paraId="17523AE7">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w:t>
      </w:r>
      <w:r>
        <w:rPr>
          <w:rFonts w:hint="eastAsia" w:ascii="仿宋_GB2312" w:hAnsi="仿宋_GB2312" w:eastAsia="仿宋_GB2312" w:cs="仿宋_GB2312"/>
          <w:b/>
          <w:color w:val="000000"/>
          <w:sz w:val="20"/>
          <w:highlight w:val="none"/>
          <w:lang w:val="en-US" w:eastAsia="zh-Hans"/>
        </w:rPr>
        <w:t>▲6</w:t>
      </w:r>
      <w:r>
        <w:rPr>
          <w:rFonts w:hint="eastAsia" w:ascii="仿宋_GB2312" w:hAnsi="仿宋_GB2312" w:eastAsia="仿宋_GB2312" w:cs="仿宋_GB2312"/>
          <w:color w:val="000000"/>
          <w:sz w:val="20"/>
          <w:highlight w:val="none"/>
          <w:lang w:val="en-US" w:eastAsia="zh-Hans"/>
        </w:rPr>
        <w:t>】</w:t>
      </w:r>
      <w:r>
        <w:rPr>
          <w:rFonts w:hint="eastAsia" w:ascii="仿宋_GB2312" w:hAnsi="仿宋_GB2312" w:eastAsia="仿宋_GB2312" w:cs="仿宋_GB2312"/>
          <w:b/>
          <w:color w:val="000000"/>
          <w:sz w:val="20"/>
          <w:highlight w:val="none"/>
          <w:lang w:val="en-US" w:eastAsia="zh-Hans"/>
        </w:rPr>
        <w:t xml:space="preserve"> 红外热像仪：探测器分辨率≥640×512（须提国家认可的第三方检测机构出具的检测报告佐证）；</w:t>
      </w:r>
    </w:p>
    <w:p w14:paraId="29F8FF46">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【指标7】可见光相机：探测器分辨率≥1920</w:t>
      </w:r>
      <w:r>
        <w:rPr>
          <w:rFonts w:hint="eastAsia" w:ascii="仿宋_GB2312" w:hAnsi="仿宋_GB2312" w:eastAsia="仿宋_GB2312" w:cs="仿宋_GB2312"/>
          <w:b/>
          <w:color w:val="000000"/>
          <w:sz w:val="20"/>
          <w:highlight w:val="none"/>
          <w:lang w:val="en-US" w:eastAsia="zh-Hans"/>
        </w:rPr>
        <w:t>×</w:t>
      </w:r>
      <w:r>
        <w:rPr>
          <w:rFonts w:hint="eastAsia" w:ascii="仿宋_GB2312" w:hAnsi="仿宋_GB2312" w:eastAsia="仿宋_GB2312" w:cs="仿宋_GB2312"/>
          <w:color w:val="000000"/>
          <w:sz w:val="20"/>
          <w:highlight w:val="none"/>
          <w:lang w:val="en-US" w:eastAsia="zh-Hans"/>
        </w:rPr>
        <w:t>1080；</w:t>
      </w:r>
    </w:p>
    <w:p w14:paraId="6FB8F4BB">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【▲7】光学变倍：≥11倍（须提国家认可的第三方检测机构出具的检测报告佐证）；</w:t>
      </w:r>
    </w:p>
    <w:p w14:paraId="07D78CE7">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1.4喊话器</w:t>
      </w:r>
    </w:p>
    <w:p w14:paraId="179286AD">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w:t>
      </w:r>
      <w:r>
        <w:rPr>
          <w:rFonts w:hint="eastAsia" w:ascii="仿宋_GB2312" w:hAnsi="仿宋_GB2312" w:eastAsia="仿宋_GB2312" w:cs="仿宋_GB2312"/>
          <w:b/>
          <w:color w:val="000000"/>
          <w:sz w:val="20"/>
          <w:highlight w:val="none"/>
          <w:lang w:val="en-US" w:eastAsia="zh-Hans"/>
        </w:rPr>
        <w:t>▲8</w:t>
      </w:r>
      <w:r>
        <w:rPr>
          <w:rFonts w:hint="eastAsia" w:ascii="仿宋_GB2312" w:hAnsi="仿宋_GB2312" w:eastAsia="仿宋_GB2312" w:cs="仿宋_GB2312"/>
          <w:color w:val="000000"/>
          <w:sz w:val="20"/>
          <w:highlight w:val="none"/>
          <w:lang w:val="en-US" w:eastAsia="zh-Hans"/>
        </w:rPr>
        <w:t>】</w:t>
      </w:r>
      <w:r>
        <w:rPr>
          <w:rFonts w:hint="eastAsia" w:ascii="仿宋_GB2312" w:hAnsi="仿宋_GB2312" w:eastAsia="仿宋_GB2312" w:cs="仿宋_GB2312"/>
          <w:b/>
          <w:color w:val="000000"/>
          <w:sz w:val="20"/>
          <w:highlight w:val="none"/>
          <w:lang w:val="en-US" w:eastAsia="zh-Hans"/>
        </w:rPr>
        <w:t xml:space="preserve"> 响度：≥108分贝（须提国家认可的第三方检测机构出具的检测报告佐证）；</w:t>
      </w:r>
    </w:p>
    <w:p w14:paraId="2BEB389C">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【指标8】通讯方式：网络；</w:t>
      </w:r>
    </w:p>
    <w:p w14:paraId="5E2FD3B2">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1.5气象站</w:t>
      </w:r>
    </w:p>
    <w:p w14:paraId="7CBB45F6">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【指标9】风速测量范围：0-60m/s</w:t>
      </w:r>
    </w:p>
    <w:p w14:paraId="0E4D9CCF">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1.6 UPS电源</w:t>
      </w:r>
    </w:p>
    <w:p w14:paraId="0EAA8A8D">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【指标10】电池待机续航：≥90分钟</w:t>
      </w:r>
    </w:p>
    <w:p w14:paraId="33F40E8F">
      <w:pPr>
        <w:numPr>
          <w:ilvl w:val="0"/>
          <w:numId w:val="1"/>
        </w:numPr>
        <w:ind w:left="100" w:leftChars="0" w:right="360" w:firstLine="0" w:firstLineChars="0"/>
        <w:rPr>
          <w:rFonts w:hint="default" w:ascii="仿宋_GB2312" w:hAnsi="仿宋_GB2312" w:eastAsia="仿宋_GB2312" w:cs="仿宋_GB2312"/>
          <w:b/>
          <w:color w:val="000000"/>
          <w:sz w:val="20"/>
          <w:highlight w:val="none"/>
          <w:lang w:val="en-US" w:eastAsia="zh-CN"/>
        </w:rPr>
      </w:pPr>
      <w:r>
        <w:rPr>
          <w:rFonts w:hint="eastAsia" w:ascii="仿宋_GB2312" w:hAnsi="仿宋_GB2312" w:eastAsia="仿宋_GB2312" w:cs="仿宋_GB2312"/>
          <w:b/>
          <w:color w:val="000000"/>
          <w:sz w:val="20"/>
          <w:highlight w:val="none"/>
          <w:lang w:val="en-US" w:eastAsia="zh-Hans"/>
        </w:rPr>
        <w:t>软件平台功能要求</w:t>
      </w:r>
    </w:p>
    <w:p w14:paraId="79E44542">
      <w:pPr>
        <w:ind w:right="360"/>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2.1无人机调度</w:t>
      </w:r>
    </w:p>
    <w:p w14:paraId="28E1537F">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【指标11】（1）实时视频</w:t>
      </w:r>
    </w:p>
    <w:p w14:paraId="37ACADDD">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平台接入无人机实时吊舱画面，视频应为主流RTSP、RTMP或WEBRTC协议，吊舱视频可多端同步。</w:t>
      </w:r>
    </w:p>
    <w:p w14:paraId="6E423778">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【指标12】（2）吊舱控制</w:t>
      </w:r>
    </w:p>
    <w:p w14:paraId="70752592">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无人机飞巡过程中可随时远程控制云台，控制摄像头视频角度和画面变焦缩放，支持云台XY轴旋转、快速回中、一键朝向、变焦缩放等操作。</w:t>
      </w:r>
    </w:p>
    <w:p w14:paraId="5606561B">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【指标13】（3）状态信息</w:t>
      </w:r>
    </w:p>
    <w:p w14:paraId="79818045">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无人机实时状态展示，包括无人机飞行距离、总航程、剩余电压、飞行时间、飞行模式等。</w:t>
      </w:r>
    </w:p>
    <w:p w14:paraId="338F5BBF">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2.2无人机机场管理</w:t>
      </w:r>
    </w:p>
    <w:p w14:paraId="6D3D6CD5">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【指标14】（1）实时监控视频</w:t>
      </w:r>
    </w:p>
    <w:p w14:paraId="2E1A56DD">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展示无人机机场外部和内部实时监控画面。在调度过程中查看设备工况，保障机场开关门或无人机起降安全。</w:t>
      </w:r>
    </w:p>
    <w:p w14:paraId="480BE093">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【▲9】（2）状态信息</w:t>
      </w:r>
    </w:p>
    <w:p w14:paraId="3F67C6E2">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展示无人机机场实时状态信息。包括机场UPS电压、无人机电池健康、流程执行等（须提供系统截图佐证）。</w:t>
      </w:r>
    </w:p>
    <w:p w14:paraId="348DD249">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【指标15】（3）远程控制</w:t>
      </w:r>
    </w:p>
    <w:p w14:paraId="7E6562BC">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通过平台可进行对机场简单控制，如开关门、平台升降、电池更换等。平台应具备无人机机场远程急停按键，在现场应急情况终止无人机机场的流程动作。</w:t>
      </w:r>
    </w:p>
    <w:p w14:paraId="57FAD206">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2.3三维地图控件</w:t>
      </w:r>
    </w:p>
    <w:p w14:paraId="21ED9276">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【指标16】（1）2D/3D地图切换</w:t>
      </w:r>
    </w:p>
    <w:p w14:paraId="3FE9EF68">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平台应支持对2D/3D地图切换。</w:t>
      </w:r>
    </w:p>
    <w:p w14:paraId="4EF0502D">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【指标17】（2）图层切换</w:t>
      </w:r>
    </w:p>
    <w:p w14:paraId="2014D4FD">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平台应支持电子地图/卫星地图切换，可对图层进行显隐设置。</w:t>
      </w:r>
    </w:p>
    <w:p w14:paraId="56504283">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2.4后台管理</w:t>
      </w:r>
    </w:p>
    <w:p w14:paraId="78092C1C">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【指标18】标绘管理</w:t>
      </w:r>
    </w:p>
    <w:p w14:paraId="4F2E4A56">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支持展示系统中录入易涝点、消防设施、重点区域、重点企业等信息，对日常标绘或事件标绘进行管理，如增加、删减或导出专题图。</w:t>
      </w:r>
    </w:p>
    <w:p w14:paraId="6FBB618D">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2.5飞行日志</w:t>
      </w:r>
    </w:p>
    <w:p w14:paraId="43639435">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【指标19】飞行数据、视频日志</w:t>
      </w:r>
    </w:p>
    <w:p w14:paraId="5CB0CA62">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平台可快速查看无人机飞行数据，包括单位时间内无人机飞行时间、航程、架次、任务类型等。可查看无人机飞行的视频。</w:t>
      </w:r>
    </w:p>
    <w:p w14:paraId="3B251A71">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2.6设备远程管理</w:t>
      </w:r>
    </w:p>
    <w:p w14:paraId="51D71F28">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【▲10】无人机、自动机场、对讲机等设备远程管理和运行状态查询。具备无人机自动收纳、电池自动充电和保养、故障自检、起飞条件检测等功能（须提供系统截图佐证）。</w:t>
      </w:r>
    </w:p>
    <w:p w14:paraId="651A23FD">
      <w:pPr>
        <w:ind w:firstLine="416"/>
        <w:rPr>
          <w:rFonts w:hint="eastAsia" w:ascii="仿宋_GB2312" w:hAnsi="仿宋_GB2312" w:eastAsia="仿宋_GB2312" w:cs="仿宋_GB2312"/>
          <w:b/>
          <w:color w:val="000000"/>
          <w:sz w:val="20"/>
          <w:highlight w:val="none"/>
          <w:lang w:val="en-US" w:eastAsia="zh-CN"/>
        </w:rPr>
      </w:pPr>
      <w:r>
        <w:rPr>
          <w:rFonts w:hint="eastAsia" w:ascii="仿宋_GB2312" w:hAnsi="仿宋_GB2312" w:eastAsia="仿宋_GB2312" w:cs="仿宋_GB2312"/>
          <w:b/>
          <w:color w:val="000000"/>
          <w:sz w:val="20"/>
          <w:highlight w:val="none"/>
          <w:lang w:val="en-US" w:eastAsia="zh-CN"/>
        </w:rPr>
        <w:t>2.8平台运行环境要求</w:t>
      </w:r>
    </w:p>
    <w:p w14:paraId="7EA71FE4">
      <w:pPr>
        <w:ind w:firstLine="416"/>
        <w:rPr>
          <w:rFonts w:hint="eastAsia" w:ascii="仿宋_GB2312" w:hAnsi="仿宋_GB2312" w:eastAsia="仿宋_GB2312" w:cs="仿宋_GB2312"/>
          <w:b/>
          <w:color w:val="000000"/>
          <w:sz w:val="20"/>
          <w:highlight w:val="none"/>
          <w:lang w:val="en-US" w:eastAsia="zh-Hans"/>
        </w:rPr>
      </w:pPr>
      <w:r>
        <w:rPr>
          <w:rFonts w:hint="eastAsia" w:ascii="仿宋_GB2312" w:hAnsi="仿宋_GB2312" w:eastAsia="仿宋_GB2312" w:cs="仿宋_GB2312"/>
          <w:b/>
          <w:color w:val="000000"/>
          <w:sz w:val="20"/>
          <w:highlight w:val="none"/>
          <w:lang w:val="en-US" w:eastAsia="zh-Hans"/>
        </w:rPr>
        <w:t>【</w:t>
      </w:r>
      <w:r>
        <w:rPr>
          <w:rFonts w:hint="eastAsia" w:ascii="仿宋_GB2312" w:hAnsi="仿宋_GB2312" w:eastAsia="仿宋_GB2312" w:cs="仿宋_GB2312"/>
          <w:b/>
          <w:sz w:val="20"/>
          <w:highlight w:val="none"/>
          <w:lang w:val="en-US" w:eastAsia="zh-Hans"/>
        </w:rPr>
        <w:t>★4</w:t>
      </w:r>
      <w:r>
        <w:rPr>
          <w:rFonts w:hint="eastAsia" w:ascii="仿宋_GB2312" w:hAnsi="仿宋_GB2312" w:eastAsia="仿宋_GB2312" w:cs="仿宋_GB2312"/>
          <w:b/>
          <w:color w:val="000000"/>
          <w:sz w:val="20"/>
          <w:highlight w:val="none"/>
          <w:lang w:val="en-US" w:eastAsia="zh-Hans"/>
        </w:rPr>
        <w:t>】</w:t>
      </w:r>
      <w:r>
        <w:rPr>
          <w:rFonts w:hint="default" w:ascii="仿宋_GB2312" w:hAnsi="仿宋_GB2312" w:eastAsia="仿宋_GB2312" w:cs="仿宋_GB2312"/>
          <w:b/>
          <w:color w:val="000000"/>
          <w:sz w:val="20"/>
          <w:highlight w:val="none"/>
          <w:lang w:val="en-US" w:eastAsia="zh-CN"/>
        </w:rPr>
        <w:t>为保障项目数据安全，实现政务数据统一归集与管理，投标人须承诺本项目平台全部部署于</w:t>
      </w:r>
      <w:r>
        <w:rPr>
          <w:rFonts w:hint="eastAsia" w:ascii="仿宋_GB2312" w:hAnsi="仿宋_GB2312" w:eastAsia="仿宋_GB2312" w:cs="仿宋_GB2312"/>
          <w:b/>
          <w:color w:val="000000"/>
          <w:sz w:val="20"/>
          <w:highlight w:val="none"/>
          <w:lang w:val="en-US" w:eastAsia="zh-CN"/>
        </w:rPr>
        <w:t>“</w:t>
      </w:r>
      <w:r>
        <w:rPr>
          <w:rFonts w:hint="default" w:ascii="仿宋_GB2312" w:hAnsi="仿宋_GB2312" w:eastAsia="仿宋_GB2312" w:cs="仿宋_GB2312"/>
          <w:b/>
          <w:color w:val="000000"/>
          <w:sz w:val="20"/>
          <w:highlight w:val="none"/>
          <w:lang w:val="en-US" w:eastAsia="zh-CN"/>
        </w:rPr>
        <w:t>三明市政务云</w:t>
      </w:r>
      <w:r>
        <w:rPr>
          <w:rFonts w:hint="eastAsia" w:ascii="仿宋_GB2312" w:hAnsi="仿宋_GB2312" w:eastAsia="仿宋_GB2312" w:cs="仿宋_GB2312"/>
          <w:b/>
          <w:color w:val="000000"/>
          <w:sz w:val="20"/>
          <w:highlight w:val="none"/>
          <w:lang w:val="en-US" w:eastAsia="zh-CN"/>
        </w:rPr>
        <w:t>”</w:t>
      </w:r>
      <w:r>
        <w:rPr>
          <w:rFonts w:hint="default" w:ascii="仿宋_GB2312" w:hAnsi="仿宋_GB2312" w:eastAsia="仿宋_GB2312" w:cs="仿宋_GB2312"/>
          <w:b/>
          <w:color w:val="000000"/>
          <w:sz w:val="20"/>
          <w:highlight w:val="none"/>
          <w:lang w:val="en-US" w:eastAsia="zh-CN"/>
        </w:rPr>
        <w:t>环境内，项目产生的全部业务数据、业务日志、配置数据等均存储在三明市政务云，数据不得脱离三明市政务云环境存储。（投标人须在投标文件中对此项进行专项响应承诺，未按要求响应的，按无效响应处理。）</w:t>
      </w:r>
    </w:p>
    <w:p w14:paraId="5D73E0B7">
      <w:pPr>
        <w:ind w:firstLine="416"/>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2.</w:t>
      </w:r>
      <w:r>
        <w:rPr>
          <w:rFonts w:hint="eastAsia" w:ascii="仿宋_GB2312" w:hAnsi="仿宋_GB2312" w:eastAsia="仿宋_GB2312" w:cs="仿宋_GB2312"/>
          <w:b/>
          <w:color w:val="000000"/>
          <w:sz w:val="20"/>
          <w:highlight w:val="none"/>
          <w:lang w:val="en-US" w:eastAsia="zh-CN"/>
        </w:rPr>
        <w:t>8</w:t>
      </w:r>
      <w:r>
        <w:rPr>
          <w:rFonts w:hint="eastAsia" w:ascii="仿宋_GB2312" w:hAnsi="仿宋_GB2312" w:eastAsia="仿宋_GB2312" w:cs="仿宋_GB2312"/>
          <w:b/>
          <w:color w:val="000000"/>
          <w:sz w:val="20"/>
          <w:highlight w:val="none"/>
          <w:lang w:val="en-US" w:eastAsia="zh-Hans"/>
        </w:rPr>
        <w:t>设备保险保障</w:t>
      </w:r>
    </w:p>
    <w:p w14:paraId="7C55284D">
      <w:pPr>
        <w:ind w:firstLine="416"/>
        <w:rPr>
          <w:rFonts w:hint="eastAsia" w:ascii="仿宋_GB2312" w:hAnsi="仿宋_GB2312" w:eastAsia="仿宋_GB2312" w:cs="仿宋_GB2312"/>
          <w:b/>
          <w:color w:val="000000"/>
          <w:sz w:val="20"/>
          <w:highlight w:val="none"/>
          <w:lang w:val="en-US" w:eastAsia="zh-Hans"/>
        </w:rPr>
      </w:pPr>
      <w:r>
        <w:rPr>
          <w:rFonts w:hint="eastAsia" w:ascii="仿宋_GB2312" w:hAnsi="仿宋_GB2312" w:eastAsia="仿宋_GB2312" w:cs="仿宋_GB2312"/>
          <w:b/>
          <w:color w:val="000000"/>
          <w:sz w:val="20"/>
          <w:highlight w:val="none"/>
          <w:lang w:val="en-US" w:eastAsia="zh-Hans"/>
        </w:rPr>
        <w:t>【</w:t>
      </w:r>
      <w:r>
        <w:rPr>
          <w:rFonts w:hint="eastAsia" w:ascii="仿宋_GB2312" w:hAnsi="仿宋_GB2312" w:eastAsia="仿宋_GB2312" w:cs="仿宋_GB2312"/>
          <w:b/>
          <w:sz w:val="20"/>
          <w:highlight w:val="none"/>
          <w:lang w:val="en-US" w:eastAsia="zh-Hans"/>
        </w:rPr>
        <w:t>★</w:t>
      </w:r>
      <w:r>
        <w:rPr>
          <w:rFonts w:hint="eastAsia" w:ascii="仿宋_GB2312" w:hAnsi="仿宋_GB2312" w:eastAsia="仿宋_GB2312" w:cs="仿宋_GB2312"/>
          <w:b/>
          <w:sz w:val="20"/>
          <w:highlight w:val="none"/>
          <w:lang w:val="en-US" w:eastAsia="zh-CN"/>
        </w:rPr>
        <w:t>5</w:t>
      </w:r>
      <w:r>
        <w:rPr>
          <w:rFonts w:hint="eastAsia" w:ascii="仿宋_GB2312" w:hAnsi="仿宋_GB2312" w:eastAsia="仿宋_GB2312" w:cs="仿宋_GB2312"/>
          <w:b/>
          <w:color w:val="000000"/>
          <w:sz w:val="20"/>
          <w:highlight w:val="none"/>
          <w:lang w:val="en-US" w:eastAsia="zh-Hans"/>
        </w:rPr>
        <w:t>】保险保障要求服务商购买足额商业保险。无人机第三者责任险单次事故赔偿限额不低于100万元，覆盖飞行过程中可能对第三方造成的人身伤害与财产损失（须提供承诺函，未提供视为无效投标）。</w:t>
      </w:r>
    </w:p>
    <w:p w14:paraId="5DB1D2A7">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三、商务要求（以“★”标示的内容为不允许负偏离的实质性要求）</w:t>
      </w:r>
    </w:p>
    <w:p w14:paraId="45B4589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43BDE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16A6CF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序号</w:t>
            </w:r>
          </w:p>
        </w:tc>
        <w:tc>
          <w:tcPr>
            <w:tcW w:w="2076" w:type="dxa"/>
          </w:tcPr>
          <w:p w14:paraId="7EF6FE0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参数性质</w:t>
            </w:r>
          </w:p>
        </w:tc>
        <w:tc>
          <w:tcPr>
            <w:tcW w:w="2076" w:type="dxa"/>
          </w:tcPr>
          <w:p w14:paraId="64B42B7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类型</w:t>
            </w:r>
          </w:p>
        </w:tc>
        <w:tc>
          <w:tcPr>
            <w:tcW w:w="2076" w:type="dxa"/>
          </w:tcPr>
          <w:p w14:paraId="7C753CC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要求</w:t>
            </w:r>
          </w:p>
        </w:tc>
      </w:tr>
      <w:tr w14:paraId="21EB7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F3A8D2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2076" w:type="dxa"/>
          </w:tcPr>
          <w:p w14:paraId="013E0BE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11B8641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交货时间</w:t>
            </w:r>
          </w:p>
        </w:tc>
        <w:tc>
          <w:tcPr>
            <w:tcW w:w="2076" w:type="dxa"/>
          </w:tcPr>
          <w:p w14:paraId="13F93F7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常态化巡查的服务：服务期</w:t>
            </w:r>
            <w:r>
              <w:rPr>
                <w:rFonts w:hint="eastAsia" w:ascii="仿宋_GB2312" w:hAnsi="仿宋_GB2312" w:eastAsia="仿宋_GB2312" w:cs="仿宋_GB2312"/>
                <w:highlight w:val="none"/>
                <w:lang w:val="en-US" w:eastAsia="zh-CN"/>
              </w:rPr>
              <w:t>3</w:t>
            </w:r>
            <w:r>
              <w:rPr>
                <w:rFonts w:hint="eastAsia" w:ascii="仿宋_GB2312" w:hAnsi="仿宋_GB2312" w:eastAsia="仿宋_GB2312" w:cs="仿宋_GB2312"/>
                <w:highlight w:val="none"/>
                <w:lang w:val="en-US" w:eastAsia="zh-Hans"/>
              </w:rPr>
              <w:t>年。</w:t>
            </w:r>
          </w:p>
        </w:tc>
      </w:tr>
      <w:tr w14:paraId="6F5B5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D667D6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p>
        </w:tc>
        <w:tc>
          <w:tcPr>
            <w:tcW w:w="2076" w:type="dxa"/>
          </w:tcPr>
          <w:p w14:paraId="5D580D7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692E203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交货地点</w:t>
            </w:r>
          </w:p>
        </w:tc>
        <w:tc>
          <w:tcPr>
            <w:tcW w:w="2076" w:type="dxa"/>
          </w:tcPr>
          <w:p w14:paraId="731873F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CN"/>
              </w:rPr>
              <w:t>尤溪县应急管理局</w:t>
            </w:r>
            <w:r>
              <w:rPr>
                <w:rFonts w:hint="eastAsia" w:ascii="仿宋_GB2312" w:hAnsi="仿宋_GB2312" w:eastAsia="仿宋_GB2312" w:cs="仿宋_GB2312"/>
                <w:highlight w:val="none"/>
                <w:lang w:val="en-US" w:eastAsia="zh-Hans"/>
              </w:rPr>
              <w:t>指定地点。</w:t>
            </w:r>
          </w:p>
        </w:tc>
      </w:tr>
      <w:tr w14:paraId="3B08B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1DBA46A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w:t>
            </w:r>
          </w:p>
        </w:tc>
        <w:tc>
          <w:tcPr>
            <w:tcW w:w="2076" w:type="dxa"/>
          </w:tcPr>
          <w:p w14:paraId="4C35432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5D0A69E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交货条件</w:t>
            </w:r>
          </w:p>
        </w:tc>
        <w:tc>
          <w:tcPr>
            <w:tcW w:w="2076" w:type="dxa"/>
          </w:tcPr>
          <w:p w14:paraId="02B8ED8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验收合格。</w:t>
            </w:r>
          </w:p>
        </w:tc>
      </w:tr>
      <w:tr w14:paraId="51AC6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0432C3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w:t>
            </w:r>
          </w:p>
        </w:tc>
        <w:tc>
          <w:tcPr>
            <w:tcW w:w="2076" w:type="dxa"/>
          </w:tcPr>
          <w:p w14:paraId="6EF549A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7FF22D5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是否邀请投标人验收</w:t>
            </w:r>
          </w:p>
        </w:tc>
        <w:tc>
          <w:tcPr>
            <w:tcW w:w="2076" w:type="dxa"/>
          </w:tcPr>
          <w:p w14:paraId="0000F7C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不邀请投标人验收</w:t>
            </w:r>
          </w:p>
        </w:tc>
      </w:tr>
      <w:tr w14:paraId="74DC6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4520A9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w:t>
            </w:r>
          </w:p>
        </w:tc>
        <w:tc>
          <w:tcPr>
            <w:tcW w:w="2076" w:type="dxa"/>
          </w:tcPr>
          <w:p w14:paraId="28EE837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0A10CEB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履约验收方式</w:t>
            </w:r>
          </w:p>
        </w:tc>
        <w:tc>
          <w:tcPr>
            <w:tcW w:w="2076" w:type="dxa"/>
          </w:tcPr>
          <w:p w14:paraId="5E8CFFD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1、期次1，说明：根据国家标准、行业标准、招标文件、投标文件和合同进行验收。</w:t>
            </w:r>
          </w:p>
        </w:tc>
      </w:tr>
      <w:tr w14:paraId="59DB5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DBE754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w:t>
            </w:r>
          </w:p>
        </w:tc>
        <w:tc>
          <w:tcPr>
            <w:tcW w:w="2076" w:type="dxa"/>
          </w:tcPr>
          <w:p w14:paraId="2435276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4BBC82D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合同支付方式</w:t>
            </w:r>
          </w:p>
        </w:tc>
        <w:tc>
          <w:tcPr>
            <w:tcW w:w="2076" w:type="dxa"/>
          </w:tcPr>
          <w:p w14:paraId="327E1D6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1、进度款，由于系统固定表述</w:t>
            </w:r>
            <w:r>
              <w:rPr>
                <w:rFonts w:hint="eastAsia" w:ascii="仿宋_GB2312" w:hAnsi="仿宋_GB2312" w:eastAsia="仿宋_GB2312" w:cs="仿宋_GB2312"/>
                <w:highlight w:val="none"/>
                <w:lang w:val="en-US" w:eastAsia="zh-CN"/>
              </w:rPr>
              <w:t>模板</w:t>
            </w:r>
            <w:r>
              <w:rPr>
                <w:rFonts w:hint="eastAsia" w:ascii="仿宋_GB2312" w:hAnsi="仿宋_GB2312" w:eastAsia="仿宋_GB2312" w:cs="仿宋_GB2312"/>
                <w:highlight w:val="none"/>
                <w:lang w:val="en-US" w:eastAsia="zh-Hans"/>
              </w:rPr>
              <w:t>原因，具体合同支付方式详见序号“8”，达到付款条件起30日内，支付合同总金额的100.00%</w:t>
            </w:r>
          </w:p>
        </w:tc>
      </w:tr>
      <w:tr w14:paraId="2A2DC0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5DD5758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7</w:t>
            </w:r>
          </w:p>
        </w:tc>
        <w:tc>
          <w:tcPr>
            <w:tcW w:w="2076" w:type="dxa"/>
          </w:tcPr>
          <w:p w14:paraId="5A6641C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2063EBB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履约保证金</w:t>
            </w:r>
          </w:p>
        </w:tc>
        <w:tc>
          <w:tcPr>
            <w:tcW w:w="2076" w:type="dxa"/>
          </w:tcPr>
          <w:p w14:paraId="0869963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不缴纳</w:t>
            </w:r>
          </w:p>
          <w:p w14:paraId="300B5BF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缴纳方式：无</w:t>
            </w:r>
          </w:p>
        </w:tc>
      </w:tr>
      <w:tr w14:paraId="02330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64E28E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w:t>
            </w:r>
          </w:p>
        </w:tc>
        <w:tc>
          <w:tcPr>
            <w:tcW w:w="2076" w:type="dxa"/>
          </w:tcPr>
          <w:p w14:paraId="15057A9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2076" w:type="dxa"/>
          </w:tcPr>
          <w:p w14:paraId="4AEC24E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w:t>
            </w:r>
          </w:p>
        </w:tc>
        <w:tc>
          <w:tcPr>
            <w:tcW w:w="2076" w:type="dxa"/>
          </w:tcPr>
          <w:p w14:paraId="01C1ED6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常态化巡查服务开始后，按季度分四期支付服务费用，每期各占年度服务费的25%。每期服务费的具体支付金额，均严格按照招标文件规定的季度考核评分标准进行独立考核后确定。招标人在收到中标人开具的与当期支付金额一致且合法有效的增值税发票后15个工作日内，向中标人支付当期服务费。 2、项目自合同签订后中标人须在60个日历日内完成硬件部署及平台系统初试并向招标人提请初步验收。</w:t>
            </w:r>
          </w:p>
        </w:tc>
      </w:tr>
    </w:tbl>
    <w:p w14:paraId="2162239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其他商务要求</w:t>
      </w:r>
    </w:p>
    <w:p w14:paraId="210F0C7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b/>
          <w:sz w:val="20"/>
          <w:highlight w:val="none"/>
          <w:lang w:val="en-US" w:eastAsia="zh-Hans"/>
        </w:rPr>
        <w:t>★9.技术及人员保障</w:t>
      </w:r>
      <w:r>
        <w:rPr>
          <w:rFonts w:hint="eastAsia" w:ascii="仿宋_GB2312" w:hAnsi="仿宋_GB2312" w:eastAsia="仿宋_GB2312" w:cs="仿宋_GB2312"/>
          <w:b/>
          <w:color w:val="000000"/>
          <w:sz w:val="20"/>
          <w:highlight w:val="none"/>
          <w:lang w:val="en-US" w:eastAsia="zh-Hans"/>
        </w:rPr>
        <w:t>要求</w:t>
      </w:r>
    </w:p>
    <w:p w14:paraId="5A623C2E">
      <w:pPr>
        <w:ind w:firstLine="400"/>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9.1飞行人员：提供不少于</w:t>
      </w:r>
      <w:r>
        <w:rPr>
          <w:rFonts w:hint="eastAsia" w:ascii="仿宋_GB2312" w:hAnsi="仿宋_GB2312" w:eastAsia="仿宋_GB2312" w:cs="仿宋_GB2312"/>
          <w:color w:val="000000"/>
          <w:sz w:val="20"/>
          <w:highlight w:val="none"/>
          <w:lang w:val="en-US" w:eastAsia="zh-CN"/>
        </w:rPr>
        <w:t>3</w:t>
      </w:r>
      <w:r>
        <w:rPr>
          <w:rFonts w:hint="eastAsia" w:ascii="仿宋_GB2312" w:hAnsi="仿宋_GB2312" w:eastAsia="仿宋_GB2312" w:cs="仿宋_GB2312"/>
          <w:color w:val="000000"/>
          <w:sz w:val="20"/>
          <w:highlight w:val="none"/>
          <w:lang w:val="en-US" w:eastAsia="zh-Hans"/>
        </w:rPr>
        <w:t>名值守技术服务人员（常年进驻应急局服从指挥调度）。</w:t>
      </w:r>
    </w:p>
    <w:p w14:paraId="4D910B41">
      <w:pPr>
        <w:ind w:firstLine="400"/>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9.2机动分队：由不少于</w:t>
      </w:r>
      <w:r>
        <w:rPr>
          <w:rFonts w:hint="eastAsia" w:ascii="仿宋_GB2312" w:hAnsi="仿宋_GB2312" w:eastAsia="仿宋_GB2312" w:cs="仿宋_GB2312"/>
          <w:color w:val="000000"/>
          <w:sz w:val="20"/>
          <w:highlight w:val="none"/>
          <w:lang w:val="en-US" w:eastAsia="zh-CN"/>
        </w:rPr>
        <w:t>3</w:t>
      </w:r>
      <w:r>
        <w:rPr>
          <w:rFonts w:hint="eastAsia" w:ascii="仿宋_GB2312" w:hAnsi="仿宋_GB2312" w:eastAsia="仿宋_GB2312" w:cs="仿宋_GB2312"/>
          <w:color w:val="000000"/>
          <w:sz w:val="20"/>
          <w:highlight w:val="none"/>
          <w:lang w:val="en-US" w:eastAsia="zh-Hans"/>
        </w:rPr>
        <w:t>名技术服务人员组成，不得与飞行人员</w:t>
      </w:r>
      <w:r>
        <w:rPr>
          <w:rFonts w:hint="eastAsia" w:ascii="仿宋_GB2312" w:hAnsi="仿宋_GB2312" w:eastAsia="仿宋_GB2312" w:cs="仿宋_GB2312"/>
          <w:color w:val="000000"/>
          <w:sz w:val="20"/>
          <w:highlight w:val="none"/>
          <w:lang w:val="en-US" w:eastAsia="zh-CN"/>
        </w:rPr>
        <w:t>3</w:t>
      </w:r>
      <w:r>
        <w:rPr>
          <w:rFonts w:hint="eastAsia" w:ascii="仿宋_GB2312" w:hAnsi="仿宋_GB2312" w:eastAsia="仿宋_GB2312" w:cs="仿宋_GB2312"/>
          <w:color w:val="000000"/>
          <w:sz w:val="20"/>
          <w:highlight w:val="none"/>
          <w:lang w:val="en-US" w:eastAsia="zh-Hans"/>
        </w:rPr>
        <w:t>人重复。</w:t>
      </w:r>
    </w:p>
    <w:p w14:paraId="65D357F0">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9.3人员派驻时，投标人需为飞行人员和机动分队购买不低于100万元的人身意外伤害险。</w:t>
      </w:r>
    </w:p>
    <w:p w14:paraId="595B5500">
      <w:pPr>
        <w:ind w:firstLine="400"/>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9.4报告输出服务：提供不少于1名技术服务人员对无人机每天作业的内容归档整理，并将异常巡检报告交付采购人指定单位。</w:t>
      </w:r>
    </w:p>
    <w:p w14:paraId="14DC9AA5">
      <w:pPr>
        <w:ind w:firstLine="400"/>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9.5工作设备：中标人须根据实际驻场服务人员数量，自行配备满足工作需求的电脑、办公桌椅</w:t>
      </w:r>
      <w:r>
        <w:rPr>
          <w:rFonts w:hint="eastAsia" w:ascii="仿宋_GB2312" w:hAnsi="仿宋_GB2312" w:eastAsia="仿宋_GB2312" w:cs="仿宋_GB2312"/>
          <w:sz w:val="20"/>
          <w:highlight w:val="none"/>
          <w:lang w:val="en-US" w:eastAsia="zh-Hans"/>
        </w:rPr>
        <w:t>等相关办公设备，并负责设备的安装、调试及后续维护。</w:t>
      </w:r>
    </w:p>
    <w:p w14:paraId="6CB91865">
      <w:pPr>
        <w:ind w:firstLine="400"/>
        <w:jc w:val="both"/>
        <w:rPr>
          <w:rFonts w:hint="eastAsia" w:ascii="Calibri" w:hAnsi="Calibri" w:eastAsia="宋体" w:cs="Times New Roman"/>
          <w:highlight w:val="none"/>
          <w:lang w:val="en-US" w:eastAsia="zh-Hans"/>
        </w:rPr>
      </w:pPr>
      <w:r>
        <w:rPr>
          <w:rFonts w:hint="eastAsia" w:ascii="仿宋_GB2312" w:hAnsi="仿宋_GB2312" w:eastAsia="仿宋_GB2312" w:cs="仿宋_GB2312"/>
          <w:sz w:val="20"/>
          <w:highlight w:val="none"/>
          <w:lang w:val="en-US" w:eastAsia="zh-Hans"/>
        </w:rPr>
        <w:t>9.6中标人应及时响应招标人的需求，为招标人提供统一、标准、规范的运维服务及技术支持。</w:t>
      </w:r>
    </w:p>
    <w:p w14:paraId="4924779B">
      <w:pPr>
        <w:jc w:val="both"/>
        <w:rPr>
          <w:rFonts w:hint="eastAsia" w:ascii="Calibri" w:hAnsi="Calibri" w:eastAsia="宋体" w:cs="Times New Roman"/>
          <w:highlight w:val="none"/>
          <w:lang w:val="en-US" w:eastAsia="zh-Hans"/>
        </w:rPr>
      </w:pPr>
      <w:r>
        <w:rPr>
          <w:rFonts w:hint="eastAsia" w:ascii="仿宋_GB2312" w:hAnsi="仿宋_GB2312" w:eastAsia="仿宋_GB2312" w:cs="仿宋_GB2312"/>
          <w:b/>
          <w:sz w:val="20"/>
          <w:highlight w:val="none"/>
          <w:lang w:val="en-US" w:eastAsia="zh-Hans"/>
        </w:rPr>
        <w:t>10.合同及考核机制</w:t>
      </w:r>
    </w:p>
    <w:p w14:paraId="532316F4">
      <w:pPr>
        <w:ind w:firstLine="420"/>
        <w:jc w:val="both"/>
        <w:rPr>
          <w:rFonts w:hint="eastAsia" w:ascii="Calibri" w:hAnsi="Calibri" w:eastAsia="宋体" w:cs="Times New Roman"/>
          <w:highlight w:val="none"/>
          <w:lang w:val="en-US" w:eastAsia="zh-Hans"/>
        </w:rPr>
      </w:pPr>
      <w:r>
        <w:rPr>
          <w:rFonts w:hint="eastAsia" w:ascii="仿宋_GB2312" w:hAnsi="仿宋_GB2312" w:eastAsia="仿宋_GB2312" w:cs="仿宋_GB2312"/>
          <w:sz w:val="20"/>
          <w:highlight w:val="none"/>
          <w:lang w:val="en-US" w:eastAsia="zh-Hans"/>
        </w:rPr>
        <w:t>10.1本项目为统招统签项目，中标人在收到中标通知书后30日内，中标人与招标人（</w:t>
      </w:r>
      <w:r>
        <w:rPr>
          <w:rFonts w:hint="eastAsia" w:ascii="仿宋_GB2312" w:hAnsi="仿宋_GB2312" w:eastAsia="仿宋_GB2312" w:cs="仿宋_GB2312"/>
          <w:sz w:val="20"/>
          <w:highlight w:val="none"/>
          <w:lang w:val="en-US" w:eastAsia="zh-CN"/>
        </w:rPr>
        <w:t>尤溪县应急管理局</w:t>
      </w:r>
      <w:r>
        <w:rPr>
          <w:rFonts w:hint="eastAsia" w:ascii="仿宋_GB2312" w:hAnsi="仿宋_GB2312" w:eastAsia="仿宋_GB2312" w:cs="仿宋_GB2312"/>
          <w:sz w:val="20"/>
          <w:highlight w:val="none"/>
          <w:lang w:val="en-US" w:eastAsia="zh-Hans"/>
        </w:rPr>
        <w:t>）签订项目服务合同。</w:t>
      </w:r>
    </w:p>
    <w:p w14:paraId="3BC79C15">
      <w:pPr>
        <w:ind w:firstLine="420"/>
        <w:jc w:val="both"/>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shd w:val="clear" w:fill="FFFFFF"/>
          <w:lang w:val="en-US" w:eastAsia="zh-Hans"/>
        </w:rPr>
        <w:t>10.2本项目合计3年服务期，考核方式及标准如下</w:t>
      </w:r>
      <w:r>
        <w:rPr>
          <w:rFonts w:hint="eastAsia" w:ascii="仿宋_GB2312" w:hAnsi="仿宋_GB2312" w:eastAsia="仿宋_GB2312" w:cs="仿宋_GB2312"/>
          <w:sz w:val="20"/>
          <w:highlight w:val="none"/>
          <w:lang w:val="en-US" w:eastAsia="zh-Hans"/>
        </w:rPr>
        <w:t>：</w:t>
      </w:r>
    </w:p>
    <w:p w14:paraId="508AA1D5">
      <w:pPr>
        <w:ind w:firstLine="420"/>
        <w:jc w:val="left"/>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（1）考核周期：每季度考核一次，总分100分。</w:t>
      </w:r>
    </w:p>
    <w:p w14:paraId="242BF952">
      <w:pPr>
        <w:ind w:firstLine="420"/>
        <w:jc w:val="left"/>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（2）考核方式：</w:t>
      </w:r>
    </w:p>
    <w:p w14:paraId="6EA42099">
      <w:pPr>
        <w:ind w:firstLine="420"/>
        <w:jc w:val="left"/>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①阶段考核得80分及以上的，该阶段付款按100％支付；</w:t>
      </w:r>
    </w:p>
    <w:p w14:paraId="2109F5FA">
      <w:pPr>
        <w:ind w:firstLine="420"/>
        <w:jc w:val="left"/>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②阶段考核得70分≤得分&lt;80分，该阶段付款按得分百分比支付；</w:t>
      </w:r>
    </w:p>
    <w:p w14:paraId="519F4A71">
      <w:pPr>
        <w:ind w:firstLine="420"/>
        <w:jc w:val="left"/>
        <w:rPr>
          <w:rFonts w:hint="eastAsia" w:ascii="Calibri" w:hAnsi="Calibri" w:eastAsia="宋体" w:cs="Times New Roman"/>
          <w:highlight w:val="none"/>
          <w:lang w:val="en-US" w:eastAsia="zh-CN"/>
        </w:rPr>
      </w:pPr>
      <w:r>
        <w:rPr>
          <w:rFonts w:hint="eastAsia" w:ascii="仿宋_GB2312" w:hAnsi="仿宋_GB2312" w:eastAsia="仿宋_GB2312" w:cs="仿宋_GB2312"/>
          <w:color w:val="000000"/>
          <w:sz w:val="20"/>
          <w:highlight w:val="none"/>
          <w:lang w:val="en-US" w:eastAsia="zh-CN"/>
        </w:rPr>
        <w:t>③阶段考核得60分≤得分&lt;70分，该阶段付款按得分百分比支付，同时发出书面整改通知书，中标人须提交整改方案并在下季度首月完成整改验证；</w:t>
      </w:r>
    </w:p>
    <w:p w14:paraId="238F595E">
      <w:pPr>
        <w:ind w:firstLine="420"/>
        <w:jc w:val="left"/>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④阶段考核低于60 分的，或在服务期间出现重大系统服务故障、严重安全事故及重大事件通报，发生入侵事件和受到上级领导部门通报造成不良后果，对平台造成重大损失，经查明系统事故、安全事故确系由中标人负全责，招标人有权扣除该阶段所有技术服务费用。</w:t>
      </w:r>
    </w:p>
    <w:p w14:paraId="0EC9E5C7">
      <w:pPr>
        <w:ind w:firstLine="420"/>
        <w:jc w:val="left"/>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⑤另：单机库年度总飞行架次（按1180架次为标准）执行飞行任务，未达到飞行架次标准的，按中标单价据实结算。应急情况下，中标人需为招标人提供应急飞行服务（飞行架次不超过单机库年度总飞行架次的10%），招标人不另行付费。</w:t>
      </w:r>
      <w:r>
        <w:rPr>
          <w:rFonts w:hint="eastAsia" w:ascii="仿宋_GB2312" w:hAnsi="仿宋_GB2312" w:eastAsia="仿宋_GB2312" w:cs="仿宋_GB2312"/>
          <w:b/>
          <w:color w:val="000000"/>
          <w:sz w:val="20"/>
          <w:highlight w:val="none"/>
          <w:lang w:val="en-US" w:eastAsia="zh-Hans"/>
        </w:rPr>
        <w:t>（投标时须提供承诺函，格式自拟，未提供视为无效投标）</w:t>
      </w:r>
    </w:p>
    <w:p w14:paraId="60D49699">
      <w:pPr>
        <w:ind w:firstLine="420"/>
        <w:jc w:val="left"/>
        <w:rPr>
          <w:rFonts w:hint="eastAsia" w:ascii="仿宋_GB2312" w:hAnsi="仿宋_GB2312" w:eastAsia="仿宋_GB2312" w:cs="仿宋_GB2312"/>
          <w:color w:val="000000"/>
          <w:sz w:val="20"/>
          <w:highlight w:val="none"/>
          <w:lang w:val="en-US" w:eastAsia="zh-Hans"/>
        </w:rPr>
      </w:pPr>
      <w:r>
        <w:rPr>
          <w:rFonts w:hint="eastAsia" w:ascii="仿宋_GB2312" w:hAnsi="仿宋_GB2312" w:eastAsia="仿宋_GB2312" w:cs="仿宋_GB2312"/>
          <w:color w:val="000000"/>
          <w:sz w:val="20"/>
          <w:highlight w:val="none"/>
          <w:lang w:val="en-US" w:eastAsia="zh-Hans"/>
        </w:rPr>
        <w:t>10.3考核评分表：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80"/>
        <w:gridCol w:w="1208"/>
        <w:gridCol w:w="836"/>
        <w:gridCol w:w="3177"/>
        <w:gridCol w:w="687"/>
        <w:gridCol w:w="824"/>
        <w:gridCol w:w="618"/>
        <w:gridCol w:w="586"/>
      </w:tblGrid>
      <w:tr w14:paraId="37D0E7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restart"/>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2DF4E3C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序号</w:t>
            </w:r>
          </w:p>
        </w:tc>
        <w:tc>
          <w:tcPr>
            <w:tcW w:w="1544" w:type="dxa"/>
            <w:vMerge w:val="restart"/>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2B6A3C47">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内容</w:t>
            </w:r>
          </w:p>
        </w:tc>
        <w:tc>
          <w:tcPr>
            <w:tcW w:w="1019" w:type="dxa"/>
            <w:vMerge w:val="restart"/>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2B9E236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评价指标名称</w:t>
            </w:r>
          </w:p>
        </w:tc>
        <w:tc>
          <w:tcPr>
            <w:tcW w:w="4063" w:type="dxa"/>
            <w:vMerge w:val="restart"/>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6A8D5DF0">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评价指标说明</w:t>
            </w:r>
          </w:p>
        </w:tc>
        <w:tc>
          <w:tcPr>
            <w:tcW w:w="809" w:type="dxa"/>
            <w:vMerge w:val="restart"/>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73164F34">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单项满分</w:t>
            </w: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5D44EA1A">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评分标准</w:t>
            </w:r>
          </w:p>
        </w:tc>
      </w:tr>
      <w:tr w14:paraId="624A0A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single" w:color="000000" w:sz="4" w:space="0"/>
              <w:left w:val="single" w:color="000000" w:sz="4" w:space="0"/>
              <w:bottom w:val="single" w:color="000000" w:sz="4" w:space="0"/>
              <w:right w:val="single" w:color="000000" w:sz="4" w:space="0"/>
            </w:tcBorders>
            <w:vAlign w:val="center"/>
          </w:tcPr>
          <w:p w14:paraId="7AB5D803">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14:paraId="225163A6">
            <w:pPr>
              <w:autoSpaceDE w:val="0"/>
              <w:autoSpaceDN w:val="0"/>
              <w:jc w:val="center"/>
              <w:rPr>
                <w:rFonts w:ascii="宋体" w:hAnsi="宋体" w:eastAsia="宋体" w:cs="宋体"/>
                <w:color w:val="auto"/>
                <w:kern w:val="0"/>
                <w:sz w:val="22"/>
                <w:szCs w:val="22"/>
                <w:highlight w:val="none"/>
              </w:rPr>
            </w:pPr>
          </w:p>
        </w:tc>
        <w:tc>
          <w:tcPr>
            <w:tcW w:w="1019" w:type="dxa"/>
            <w:vMerge w:val="continue"/>
            <w:tcBorders>
              <w:top w:val="single" w:color="000000" w:sz="4" w:space="0"/>
              <w:left w:val="single" w:color="000000" w:sz="4" w:space="0"/>
              <w:bottom w:val="single" w:color="000000" w:sz="4" w:space="0"/>
              <w:right w:val="single" w:color="000000" w:sz="4" w:space="0"/>
            </w:tcBorders>
            <w:vAlign w:val="center"/>
          </w:tcPr>
          <w:p w14:paraId="6E85842C">
            <w:pPr>
              <w:autoSpaceDE w:val="0"/>
              <w:autoSpaceDN w:val="0"/>
              <w:jc w:val="center"/>
              <w:rPr>
                <w:rFonts w:ascii="宋体" w:hAnsi="宋体" w:eastAsia="宋体" w:cs="宋体"/>
                <w:color w:val="auto"/>
                <w:kern w:val="0"/>
                <w:sz w:val="22"/>
                <w:szCs w:val="22"/>
                <w:highlight w:val="none"/>
              </w:rPr>
            </w:pPr>
          </w:p>
        </w:tc>
        <w:tc>
          <w:tcPr>
            <w:tcW w:w="4063" w:type="dxa"/>
            <w:vMerge w:val="continue"/>
            <w:tcBorders>
              <w:top w:val="single" w:color="000000" w:sz="4" w:space="0"/>
              <w:left w:val="single" w:color="000000" w:sz="4" w:space="0"/>
              <w:bottom w:val="single" w:color="000000" w:sz="4" w:space="0"/>
              <w:right w:val="single" w:color="000000" w:sz="4" w:space="0"/>
            </w:tcBorders>
            <w:vAlign w:val="center"/>
          </w:tcPr>
          <w:p w14:paraId="4C892C86">
            <w:pPr>
              <w:autoSpaceDE w:val="0"/>
              <w:autoSpaceDN w:val="0"/>
              <w:jc w:val="center"/>
              <w:rPr>
                <w:rFonts w:ascii="宋体" w:hAnsi="宋体" w:eastAsia="宋体" w:cs="宋体"/>
                <w:color w:val="auto"/>
                <w:kern w:val="0"/>
                <w:sz w:val="22"/>
                <w:szCs w:val="22"/>
                <w:highlight w:val="none"/>
              </w:rPr>
            </w:pPr>
          </w:p>
        </w:tc>
        <w:tc>
          <w:tcPr>
            <w:tcW w:w="809" w:type="dxa"/>
            <w:vMerge w:val="continue"/>
            <w:tcBorders>
              <w:top w:val="single" w:color="000000" w:sz="4" w:space="0"/>
              <w:left w:val="single" w:color="000000" w:sz="4" w:space="0"/>
              <w:bottom w:val="single" w:color="000000" w:sz="4" w:space="0"/>
              <w:right w:val="single" w:color="000000" w:sz="4" w:space="0"/>
            </w:tcBorders>
            <w:vAlign w:val="center"/>
          </w:tcPr>
          <w:p w14:paraId="4CDCDBAD">
            <w:pPr>
              <w:autoSpaceDE w:val="0"/>
              <w:autoSpaceDN w:val="0"/>
              <w:jc w:val="center"/>
              <w:rPr>
                <w:rFonts w:ascii="宋体" w:hAnsi="宋体" w:eastAsia="宋体" w:cs="宋体"/>
                <w:color w:val="auto"/>
                <w:kern w:val="0"/>
                <w:sz w:val="22"/>
                <w:szCs w:val="22"/>
                <w:highlight w:val="none"/>
              </w:rPr>
            </w:pPr>
          </w:p>
        </w:tc>
        <w:tc>
          <w:tcPr>
            <w:tcW w:w="929" w:type="dxa"/>
            <w:tcBorders>
              <w:top w:val="nil"/>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5438EA78">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80%≤X</w:t>
            </w:r>
          </w:p>
          <w:p w14:paraId="13F76E14">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≤100%</w:t>
            </w:r>
          </w:p>
        </w:tc>
        <w:tc>
          <w:tcPr>
            <w:tcW w:w="674" w:type="dxa"/>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17DEF59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60%</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≤X&lt;</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80%</w:t>
            </w:r>
          </w:p>
        </w:tc>
        <w:tc>
          <w:tcPr>
            <w:tcW w:w="629" w:type="dxa"/>
            <w:tcBorders>
              <w:top w:val="single" w:color="000000" w:sz="4" w:space="0"/>
              <w:left w:val="single" w:color="000000" w:sz="4" w:space="0"/>
              <w:bottom w:val="single" w:color="000000" w:sz="4" w:space="0"/>
              <w:right w:val="single" w:color="000000" w:sz="4" w:space="0"/>
            </w:tcBorders>
            <w:shd w:val="clear" w:color="auto" w:fill="BEBEBE"/>
            <w:tcMar>
              <w:top w:w="0" w:type="dxa"/>
              <w:left w:w="105" w:type="dxa"/>
              <w:bottom w:w="0" w:type="dxa"/>
              <w:right w:w="105" w:type="dxa"/>
            </w:tcMar>
            <w:vAlign w:val="center"/>
          </w:tcPr>
          <w:p w14:paraId="74E20D6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X&lt;</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60%</w:t>
            </w:r>
          </w:p>
        </w:tc>
      </w:tr>
      <w:tr w14:paraId="32C004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8DB961">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w:t>
            </w:r>
          </w:p>
        </w:tc>
        <w:tc>
          <w:tcPr>
            <w:tcW w:w="154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FEF32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基本服务类</w:t>
            </w: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D4CFD5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现场工作纪律</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B00144">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遵守现场维护管理制度，包括但不限于以下内容：</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1）不出现迟到、早退；</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2）不出现操作记录不规范；</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3）不出现维护电话无人接听；</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4）办公区巡检、专项检查等现场综合工作的执行流程不规范；</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5）现场人员不能积极配合。</w:t>
            </w:r>
          </w:p>
          <w:p w14:paraId="06EB2516">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备注：以上每1条1分。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AB9D7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5D96031">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5E1AF40">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按</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百</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比</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例</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得</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分</w:t>
            </w: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99909A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65C1DC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6843681E">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5521CE34">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2F74374">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驻点人员配置</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93E8E48">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驻点人员配备满足</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1）人员数量保障按照合同人数的配置，相关人员要求符合条件，不符合条件的扣2分；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2）人员技能需达到合同要求，未达到扣2分；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3）人员非工作时间满足7*24小时远程值守安排，不满足扣1分。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2E7175">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E6BA2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continue"/>
            <w:tcBorders>
              <w:top w:val="nil"/>
              <w:left w:val="single" w:color="000000" w:sz="4" w:space="0"/>
              <w:bottom w:val="single" w:color="000000" w:sz="4" w:space="0"/>
              <w:right w:val="single" w:color="000000" w:sz="4" w:space="0"/>
            </w:tcBorders>
            <w:vAlign w:val="center"/>
          </w:tcPr>
          <w:p w14:paraId="47C27131">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EEE8EB">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497DD0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50571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w:t>
            </w:r>
          </w:p>
        </w:tc>
        <w:tc>
          <w:tcPr>
            <w:tcW w:w="154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31C70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日常运营类</w:t>
            </w: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672E4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设备在线率</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0FB86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≥95%得满分，每降低1个百分点扣1分。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32993B">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E8F772">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15</w:t>
            </w:r>
          </w:p>
        </w:tc>
        <w:tc>
          <w:tcPr>
            <w:tcW w:w="674" w:type="dxa"/>
            <w:vMerge w:val="continue"/>
            <w:tcBorders>
              <w:top w:val="nil"/>
              <w:left w:val="single" w:color="000000" w:sz="4" w:space="0"/>
              <w:bottom w:val="single" w:color="000000" w:sz="4" w:space="0"/>
              <w:right w:val="single" w:color="000000" w:sz="4" w:space="0"/>
            </w:tcBorders>
            <w:vAlign w:val="center"/>
          </w:tcPr>
          <w:p w14:paraId="240AF055">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557367">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7.5</w:t>
            </w:r>
          </w:p>
        </w:tc>
      </w:tr>
      <w:tr w14:paraId="4E6F7B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73CC3E00">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794E28B1">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CA817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任务执行完成率</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F965A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≥98%得满分，每降低1个百分点扣2分。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62166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813BB15">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15</w:t>
            </w:r>
          </w:p>
        </w:tc>
        <w:tc>
          <w:tcPr>
            <w:tcW w:w="674" w:type="dxa"/>
            <w:vMerge w:val="continue"/>
            <w:tcBorders>
              <w:top w:val="nil"/>
              <w:left w:val="single" w:color="000000" w:sz="4" w:space="0"/>
              <w:bottom w:val="single" w:color="000000" w:sz="4" w:space="0"/>
              <w:right w:val="single" w:color="000000" w:sz="4" w:space="0"/>
            </w:tcBorders>
            <w:vAlign w:val="center"/>
          </w:tcPr>
          <w:p w14:paraId="0A3BB3B2">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56C449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7.5</w:t>
            </w:r>
          </w:p>
        </w:tc>
      </w:tr>
      <w:tr w14:paraId="496718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374B7C3D">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3E77A28E">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87716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交付合格率</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9EFE15">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交付范围包含：</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1）提交任务或其他工作成果时，未被客户退回重新修改，若客户退回1次扣1分，总分3分；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2）项目组内部的文档交付，包含但不限于周报、月报、年报、专题报告等。未返工任务量/总任务量&gt;=90%，不满足扣2分。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BF1788">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402E72">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continue"/>
            <w:tcBorders>
              <w:top w:val="nil"/>
              <w:left w:val="single" w:color="000000" w:sz="4" w:space="0"/>
              <w:bottom w:val="single" w:color="000000" w:sz="4" w:space="0"/>
              <w:right w:val="single" w:color="000000" w:sz="4" w:space="0"/>
            </w:tcBorders>
            <w:vAlign w:val="center"/>
          </w:tcPr>
          <w:p w14:paraId="39111CD3">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9CC3C0">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592D7D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4F00C39F">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2A3D89CE">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992131">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工作及时率</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AF5BA67">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交付范围包含：</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1）提交任务或其他工作成果时，未被客户退回重新修改，若客户退回1次扣1分，总分3分；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2）项目组内部的文档交付，包含但不限于周报、测试报告、操作手册、巡检报告等。及时任务量/总任务量&gt;=90%，不满足扣2分。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2FB351">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7DFCD6">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continue"/>
            <w:tcBorders>
              <w:top w:val="nil"/>
              <w:left w:val="single" w:color="000000" w:sz="4" w:space="0"/>
              <w:bottom w:val="single" w:color="000000" w:sz="4" w:space="0"/>
              <w:right w:val="single" w:color="000000" w:sz="4" w:space="0"/>
            </w:tcBorders>
            <w:vAlign w:val="center"/>
          </w:tcPr>
          <w:p w14:paraId="1F8FB46B">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EA49675">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6C5948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63659C19">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5B391575">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981AC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数据规范率</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BDA74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命名、坐标、格式、元数据100%合规得满分，每错1个百分点扣1分。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4D1E1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112235">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continue"/>
            <w:tcBorders>
              <w:top w:val="nil"/>
              <w:left w:val="single" w:color="000000" w:sz="4" w:space="0"/>
              <w:bottom w:val="single" w:color="000000" w:sz="4" w:space="0"/>
              <w:right w:val="single" w:color="000000" w:sz="4" w:space="0"/>
            </w:tcBorders>
            <w:vAlign w:val="center"/>
          </w:tcPr>
          <w:p w14:paraId="0509A856">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523714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26590B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69619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3</w:t>
            </w:r>
          </w:p>
        </w:tc>
        <w:tc>
          <w:tcPr>
            <w:tcW w:w="154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AD6FD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平台安全</w:t>
            </w:r>
          </w:p>
        </w:tc>
        <w:tc>
          <w:tcPr>
            <w:tcW w:w="10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03A4E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安全服务响应时间</w:t>
            </w:r>
          </w:p>
        </w:tc>
        <w:tc>
          <w:tcPr>
            <w:tcW w:w="40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BB2D0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安全应急响应时间：</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1、2小时内到达现场不扣分；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2、3小时内到达现场得90%分；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3、每增加一个小时扣10%分，直到本项为0分。</w:t>
            </w:r>
          </w:p>
        </w:tc>
        <w:tc>
          <w:tcPr>
            <w:tcW w:w="80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1067E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10</w:t>
            </w:r>
          </w:p>
        </w:tc>
        <w:tc>
          <w:tcPr>
            <w:tcW w:w="9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C8DF9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10</w:t>
            </w:r>
          </w:p>
        </w:tc>
        <w:tc>
          <w:tcPr>
            <w:tcW w:w="674" w:type="dxa"/>
            <w:vMerge w:val="continue"/>
            <w:tcBorders>
              <w:top w:val="nil"/>
              <w:left w:val="single" w:color="000000" w:sz="4" w:space="0"/>
              <w:bottom w:val="single" w:color="000000" w:sz="4" w:space="0"/>
              <w:right w:val="single" w:color="000000" w:sz="4" w:space="0"/>
            </w:tcBorders>
            <w:vAlign w:val="center"/>
          </w:tcPr>
          <w:p w14:paraId="70F16D90">
            <w:pPr>
              <w:autoSpaceDE w:val="0"/>
              <w:autoSpaceDN w:val="0"/>
              <w:jc w:val="center"/>
              <w:rPr>
                <w:rFonts w:ascii="宋体" w:hAnsi="宋体" w:eastAsia="宋体" w:cs="宋体"/>
                <w:color w:val="auto"/>
                <w:kern w:val="0"/>
                <w:sz w:val="22"/>
                <w:szCs w:val="22"/>
                <w:highlight w:val="none"/>
              </w:rPr>
            </w:pPr>
          </w:p>
        </w:tc>
        <w:tc>
          <w:tcPr>
            <w:tcW w:w="6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88C7DD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r>
      <w:tr w14:paraId="15ADA4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116224A3">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4450FA47">
            <w:pPr>
              <w:autoSpaceDE w:val="0"/>
              <w:autoSpaceDN w:val="0"/>
              <w:jc w:val="center"/>
              <w:rPr>
                <w:rFonts w:ascii="宋体" w:hAnsi="宋体" w:eastAsia="宋体" w:cs="宋体"/>
                <w:color w:val="auto"/>
                <w:kern w:val="0"/>
                <w:sz w:val="22"/>
                <w:szCs w:val="22"/>
                <w:highlight w:val="none"/>
              </w:rPr>
            </w:pPr>
          </w:p>
        </w:tc>
        <w:tc>
          <w:tcPr>
            <w:tcW w:w="1019" w:type="dxa"/>
            <w:vMerge w:val="continue"/>
            <w:tcBorders>
              <w:top w:val="nil"/>
              <w:left w:val="single" w:color="000000" w:sz="4" w:space="0"/>
              <w:bottom w:val="single" w:color="000000" w:sz="4" w:space="0"/>
              <w:right w:val="single" w:color="000000" w:sz="4" w:space="0"/>
            </w:tcBorders>
            <w:vAlign w:val="center"/>
          </w:tcPr>
          <w:p w14:paraId="4560F69D">
            <w:pPr>
              <w:autoSpaceDE w:val="0"/>
              <w:autoSpaceDN w:val="0"/>
              <w:jc w:val="center"/>
              <w:rPr>
                <w:rFonts w:ascii="宋体" w:hAnsi="宋体" w:eastAsia="宋体" w:cs="宋体"/>
                <w:color w:val="auto"/>
                <w:kern w:val="0"/>
                <w:sz w:val="22"/>
                <w:szCs w:val="22"/>
                <w:highlight w:val="none"/>
              </w:rPr>
            </w:pPr>
          </w:p>
        </w:tc>
        <w:tc>
          <w:tcPr>
            <w:tcW w:w="4063" w:type="dxa"/>
            <w:vMerge w:val="continue"/>
            <w:tcBorders>
              <w:top w:val="nil"/>
              <w:left w:val="single" w:color="000000" w:sz="4" w:space="0"/>
              <w:bottom w:val="single" w:color="000000" w:sz="4" w:space="0"/>
              <w:right w:val="single" w:color="000000" w:sz="4" w:space="0"/>
            </w:tcBorders>
            <w:vAlign w:val="center"/>
          </w:tcPr>
          <w:p w14:paraId="11F01FC5">
            <w:pPr>
              <w:autoSpaceDE w:val="0"/>
              <w:autoSpaceDN w:val="0"/>
              <w:jc w:val="center"/>
              <w:rPr>
                <w:rFonts w:ascii="宋体" w:hAnsi="宋体" w:eastAsia="宋体" w:cs="宋体"/>
                <w:color w:val="auto"/>
                <w:kern w:val="0"/>
                <w:sz w:val="22"/>
                <w:szCs w:val="22"/>
                <w:highlight w:val="none"/>
              </w:rPr>
            </w:pPr>
          </w:p>
        </w:tc>
        <w:tc>
          <w:tcPr>
            <w:tcW w:w="809" w:type="dxa"/>
            <w:vMerge w:val="continue"/>
            <w:tcBorders>
              <w:top w:val="nil"/>
              <w:left w:val="single" w:color="000000" w:sz="4" w:space="0"/>
              <w:bottom w:val="single" w:color="000000" w:sz="4" w:space="0"/>
              <w:right w:val="single" w:color="000000" w:sz="4" w:space="0"/>
            </w:tcBorders>
            <w:vAlign w:val="center"/>
          </w:tcPr>
          <w:p w14:paraId="28D7645E">
            <w:pPr>
              <w:autoSpaceDE w:val="0"/>
              <w:autoSpaceDN w:val="0"/>
              <w:jc w:val="center"/>
              <w:rPr>
                <w:rFonts w:ascii="宋体" w:hAnsi="宋体" w:eastAsia="宋体" w:cs="宋体"/>
                <w:color w:val="auto"/>
                <w:kern w:val="0"/>
                <w:sz w:val="22"/>
                <w:szCs w:val="22"/>
                <w:highlight w:val="none"/>
              </w:rPr>
            </w:pPr>
          </w:p>
        </w:tc>
        <w:tc>
          <w:tcPr>
            <w:tcW w:w="929" w:type="dxa"/>
            <w:vMerge w:val="continue"/>
            <w:tcBorders>
              <w:top w:val="nil"/>
              <w:left w:val="single" w:color="000000" w:sz="4" w:space="0"/>
              <w:bottom w:val="single" w:color="000000" w:sz="4" w:space="0"/>
              <w:right w:val="single" w:color="000000" w:sz="4" w:space="0"/>
            </w:tcBorders>
            <w:vAlign w:val="center"/>
          </w:tcPr>
          <w:p w14:paraId="65EEDEC6">
            <w:pPr>
              <w:autoSpaceDE w:val="0"/>
              <w:autoSpaceDN w:val="0"/>
              <w:jc w:val="center"/>
              <w:rPr>
                <w:rFonts w:ascii="宋体" w:hAnsi="宋体" w:eastAsia="宋体" w:cs="宋体"/>
                <w:color w:val="auto"/>
                <w:kern w:val="0"/>
                <w:sz w:val="22"/>
                <w:szCs w:val="22"/>
                <w:highlight w:val="none"/>
              </w:rPr>
            </w:pPr>
          </w:p>
        </w:tc>
        <w:tc>
          <w:tcPr>
            <w:tcW w:w="674" w:type="dxa"/>
            <w:vMerge w:val="continue"/>
            <w:tcBorders>
              <w:top w:val="nil"/>
              <w:left w:val="single" w:color="000000" w:sz="4" w:space="0"/>
              <w:bottom w:val="single" w:color="000000" w:sz="4" w:space="0"/>
              <w:right w:val="single" w:color="000000" w:sz="4" w:space="0"/>
            </w:tcBorders>
            <w:vAlign w:val="center"/>
          </w:tcPr>
          <w:p w14:paraId="2F9F40A7">
            <w:pPr>
              <w:autoSpaceDE w:val="0"/>
              <w:autoSpaceDN w:val="0"/>
              <w:jc w:val="center"/>
              <w:rPr>
                <w:rFonts w:ascii="宋体" w:hAnsi="宋体" w:eastAsia="宋体" w:cs="宋体"/>
                <w:color w:val="auto"/>
                <w:kern w:val="0"/>
                <w:sz w:val="22"/>
                <w:szCs w:val="22"/>
                <w:highlight w:val="none"/>
              </w:rPr>
            </w:pPr>
          </w:p>
        </w:tc>
        <w:tc>
          <w:tcPr>
            <w:tcW w:w="629" w:type="dxa"/>
            <w:vMerge w:val="continue"/>
            <w:tcBorders>
              <w:top w:val="nil"/>
              <w:left w:val="single" w:color="000000" w:sz="4" w:space="0"/>
              <w:bottom w:val="single" w:color="000000" w:sz="4" w:space="0"/>
              <w:right w:val="single" w:color="000000" w:sz="4" w:space="0"/>
            </w:tcBorders>
            <w:vAlign w:val="center"/>
          </w:tcPr>
          <w:p w14:paraId="093B91F4">
            <w:pPr>
              <w:autoSpaceDE w:val="0"/>
              <w:autoSpaceDN w:val="0"/>
              <w:jc w:val="center"/>
              <w:rPr>
                <w:rFonts w:ascii="宋体" w:hAnsi="宋体" w:eastAsia="宋体" w:cs="宋体"/>
                <w:color w:val="auto"/>
                <w:kern w:val="0"/>
                <w:sz w:val="22"/>
                <w:szCs w:val="22"/>
                <w:highlight w:val="none"/>
              </w:rPr>
            </w:pPr>
          </w:p>
        </w:tc>
      </w:tr>
      <w:tr w14:paraId="0DF5CA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16D3E46B">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0D9FA43E">
            <w:pPr>
              <w:autoSpaceDE w:val="0"/>
              <w:autoSpaceDN w:val="0"/>
              <w:jc w:val="center"/>
              <w:rPr>
                <w:rFonts w:ascii="宋体" w:hAnsi="宋体" w:eastAsia="宋体" w:cs="宋体"/>
                <w:color w:val="auto"/>
                <w:kern w:val="0"/>
                <w:sz w:val="22"/>
                <w:szCs w:val="22"/>
                <w:highlight w:val="none"/>
              </w:rPr>
            </w:pPr>
          </w:p>
        </w:tc>
        <w:tc>
          <w:tcPr>
            <w:tcW w:w="1019" w:type="dxa"/>
            <w:vMerge w:val="continue"/>
            <w:tcBorders>
              <w:top w:val="nil"/>
              <w:left w:val="single" w:color="000000" w:sz="4" w:space="0"/>
              <w:bottom w:val="single" w:color="000000" w:sz="4" w:space="0"/>
              <w:right w:val="single" w:color="000000" w:sz="4" w:space="0"/>
            </w:tcBorders>
            <w:vAlign w:val="center"/>
          </w:tcPr>
          <w:p w14:paraId="576DC462">
            <w:pPr>
              <w:autoSpaceDE w:val="0"/>
              <w:autoSpaceDN w:val="0"/>
              <w:jc w:val="center"/>
              <w:rPr>
                <w:rFonts w:ascii="宋体" w:hAnsi="宋体" w:eastAsia="宋体" w:cs="宋体"/>
                <w:color w:val="auto"/>
                <w:kern w:val="0"/>
                <w:sz w:val="22"/>
                <w:szCs w:val="22"/>
                <w:highlight w:val="none"/>
              </w:rPr>
            </w:pPr>
          </w:p>
        </w:tc>
        <w:tc>
          <w:tcPr>
            <w:tcW w:w="4063" w:type="dxa"/>
            <w:vMerge w:val="continue"/>
            <w:tcBorders>
              <w:top w:val="nil"/>
              <w:left w:val="single" w:color="000000" w:sz="4" w:space="0"/>
              <w:bottom w:val="single" w:color="000000" w:sz="4" w:space="0"/>
              <w:right w:val="single" w:color="000000" w:sz="4" w:space="0"/>
            </w:tcBorders>
            <w:vAlign w:val="center"/>
          </w:tcPr>
          <w:p w14:paraId="0867B152">
            <w:pPr>
              <w:autoSpaceDE w:val="0"/>
              <w:autoSpaceDN w:val="0"/>
              <w:jc w:val="center"/>
              <w:rPr>
                <w:rFonts w:ascii="宋体" w:hAnsi="宋体" w:eastAsia="宋体" w:cs="宋体"/>
                <w:color w:val="auto"/>
                <w:kern w:val="0"/>
                <w:sz w:val="22"/>
                <w:szCs w:val="22"/>
                <w:highlight w:val="none"/>
              </w:rPr>
            </w:pPr>
          </w:p>
        </w:tc>
        <w:tc>
          <w:tcPr>
            <w:tcW w:w="809" w:type="dxa"/>
            <w:vMerge w:val="continue"/>
            <w:tcBorders>
              <w:top w:val="nil"/>
              <w:left w:val="single" w:color="000000" w:sz="4" w:space="0"/>
              <w:bottom w:val="single" w:color="000000" w:sz="4" w:space="0"/>
              <w:right w:val="single" w:color="000000" w:sz="4" w:space="0"/>
            </w:tcBorders>
            <w:vAlign w:val="center"/>
          </w:tcPr>
          <w:p w14:paraId="57D3E9CB">
            <w:pPr>
              <w:autoSpaceDE w:val="0"/>
              <w:autoSpaceDN w:val="0"/>
              <w:jc w:val="center"/>
              <w:rPr>
                <w:rFonts w:ascii="宋体" w:hAnsi="宋体" w:eastAsia="宋体" w:cs="宋体"/>
                <w:color w:val="auto"/>
                <w:kern w:val="0"/>
                <w:sz w:val="22"/>
                <w:szCs w:val="22"/>
                <w:highlight w:val="none"/>
              </w:rPr>
            </w:pPr>
          </w:p>
        </w:tc>
        <w:tc>
          <w:tcPr>
            <w:tcW w:w="929" w:type="dxa"/>
            <w:vMerge w:val="continue"/>
            <w:tcBorders>
              <w:top w:val="nil"/>
              <w:left w:val="single" w:color="000000" w:sz="4" w:space="0"/>
              <w:bottom w:val="single" w:color="000000" w:sz="4" w:space="0"/>
              <w:right w:val="single" w:color="000000" w:sz="4" w:space="0"/>
            </w:tcBorders>
            <w:vAlign w:val="center"/>
          </w:tcPr>
          <w:p w14:paraId="0E00810D">
            <w:pPr>
              <w:autoSpaceDE w:val="0"/>
              <w:autoSpaceDN w:val="0"/>
              <w:jc w:val="center"/>
              <w:rPr>
                <w:rFonts w:ascii="宋体" w:hAnsi="宋体" w:eastAsia="宋体" w:cs="宋体"/>
                <w:color w:val="auto"/>
                <w:kern w:val="0"/>
                <w:sz w:val="22"/>
                <w:szCs w:val="22"/>
                <w:highlight w:val="none"/>
              </w:rPr>
            </w:pPr>
          </w:p>
        </w:tc>
        <w:tc>
          <w:tcPr>
            <w:tcW w:w="674" w:type="dxa"/>
            <w:vMerge w:val="continue"/>
            <w:tcBorders>
              <w:top w:val="nil"/>
              <w:left w:val="single" w:color="000000" w:sz="4" w:space="0"/>
              <w:bottom w:val="single" w:color="000000" w:sz="4" w:space="0"/>
              <w:right w:val="single" w:color="000000" w:sz="4" w:space="0"/>
            </w:tcBorders>
            <w:vAlign w:val="center"/>
          </w:tcPr>
          <w:p w14:paraId="5D2189C6">
            <w:pPr>
              <w:autoSpaceDE w:val="0"/>
              <w:autoSpaceDN w:val="0"/>
              <w:jc w:val="center"/>
              <w:rPr>
                <w:rFonts w:ascii="宋体" w:hAnsi="宋体" w:eastAsia="宋体" w:cs="宋体"/>
                <w:color w:val="auto"/>
                <w:kern w:val="0"/>
                <w:sz w:val="22"/>
                <w:szCs w:val="22"/>
                <w:highlight w:val="none"/>
              </w:rPr>
            </w:pPr>
          </w:p>
        </w:tc>
        <w:tc>
          <w:tcPr>
            <w:tcW w:w="629" w:type="dxa"/>
            <w:vMerge w:val="continue"/>
            <w:tcBorders>
              <w:top w:val="nil"/>
              <w:left w:val="single" w:color="000000" w:sz="4" w:space="0"/>
              <w:bottom w:val="single" w:color="000000" w:sz="4" w:space="0"/>
              <w:right w:val="single" w:color="000000" w:sz="4" w:space="0"/>
            </w:tcBorders>
            <w:vAlign w:val="center"/>
          </w:tcPr>
          <w:p w14:paraId="4C6FE540">
            <w:pPr>
              <w:autoSpaceDE w:val="0"/>
              <w:autoSpaceDN w:val="0"/>
              <w:jc w:val="center"/>
              <w:rPr>
                <w:rFonts w:ascii="宋体" w:hAnsi="宋体" w:eastAsia="宋体" w:cs="宋体"/>
                <w:color w:val="auto"/>
                <w:kern w:val="0"/>
                <w:sz w:val="22"/>
                <w:szCs w:val="22"/>
                <w:highlight w:val="none"/>
              </w:rPr>
            </w:pPr>
          </w:p>
        </w:tc>
      </w:tr>
      <w:tr w14:paraId="133B29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0F9C20FF">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6A48D59D">
            <w:pPr>
              <w:autoSpaceDE w:val="0"/>
              <w:autoSpaceDN w:val="0"/>
              <w:jc w:val="center"/>
              <w:rPr>
                <w:rFonts w:ascii="宋体" w:hAnsi="宋体" w:eastAsia="宋体" w:cs="宋体"/>
                <w:color w:val="auto"/>
                <w:kern w:val="0"/>
                <w:sz w:val="22"/>
                <w:szCs w:val="22"/>
                <w:highlight w:val="none"/>
              </w:rPr>
            </w:pPr>
          </w:p>
        </w:tc>
        <w:tc>
          <w:tcPr>
            <w:tcW w:w="1019" w:type="dxa"/>
            <w:vMerge w:val="continue"/>
            <w:tcBorders>
              <w:top w:val="nil"/>
              <w:left w:val="single" w:color="000000" w:sz="4" w:space="0"/>
              <w:bottom w:val="single" w:color="000000" w:sz="4" w:space="0"/>
              <w:right w:val="single" w:color="000000" w:sz="4" w:space="0"/>
            </w:tcBorders>
            <w:vAlign w:val="center"/>
          </w:tcPr>
          <w:p w14:paraId="4EFA2DAC">
            <w:pPr>
              <w:autoSpaceDE w:val="0"/>
              <w:autoSpaceDN w:val="0"/>
              <w:jc w:val="center"/>
              <w:rPr>
                <w:rFonts w:ascii="宋体" w:hAnsi="宋体" w:eastAsia="宋体" w:cs="宋体"/>
                <w:color w:val="auto"/>
                <w:kern w:val="0"/>
                <w:sz w:val="22"/>
                <w:szCs w:val="22"/>
                <w:highlight w:val="none"/>
              </w:rPr>
            </w:pPr>
          </w:p>
        </w:tc>
        <w:tc>
          <w:tcPr>
            <w:tcW w:w="4063" w:type="dxa"/>
            <w:vMerge w:val="continue"/>
            <w:tcBorders>
              <w:top w:val="nil"/>
              <w:left w:val="single" w:color="000000" w:sz="4" w:space="0"/>
              <w:bottom w:val="single" w:color="000000" w:sz="4" w:space="0"/>
              <w:right w:val="single" w:color="000000" w:sz="4" w:space="0"/>
            </w:tcBorders>
            <w:vAlign w:val="center"/>
          </w:tcPr>
          <w:p w14:paraId="0738F694">
            <w:pPr>
              <w:autoSpaceDE w:val="0"/>
              <w:autoSpaceDN w:val="0"/>
              <w:jc w:val="center"/>
              <w:rPr>
                <w:rFonts w:ascii="宋体" w:hAnsi="宋体" w:eastAsia="宋体" w:cs="宋体"/>
                <w:color w:val="auto"/>
                <w:kern w:val="0"/>
                <w:sz w:val="22"/>
                <w:szCs w:val="22"/>
                <w:highlight w:val="none"/>
              </w:rPr>
            </w:pPr>
          </w:p>
        </w:tc>
        <w:tc>
          <w:tcPr>
            <w:tcW w:w="809" w:type="dxa"/>
            <w:vMerge w:val="continue"/>
            <w:tcBorders>
              <w:top w:val="nil"/>
              <w:left w:val="single" w:color="000000" w:sz="4" w:space="0"/>
              <w:bottom w:val="single" w:color="000000" w:sz="4" w:space="0"/>
              <w:right w:val="single" w:color="000000" w:sz="4" w:space="0"/>
            </w:tcBorders>
            <w:vAlign w:val="center"/>
          </w:tcPr>
          <w:p w14:paraId="331A04F7">
            <w:pPr>
              <w:autoSpaceDE w:val="0"/>
              <w:autoSpaceDN w:val="0"/>
              <w:jc w:val="center"/>
              <w:rPr>
                <w:rFonts w:ascii="宋体" w:hAnsi="宋体" w:eastAsia="宋体" w:cs="宋体"/>
                <w:color w:val="auto"/>
                <w:kern w:val="0"/>
                <w:sz w:val="22"/>
                <w:szCs w:val="22"/>
                <w:highlight w:val="none"/>
              </w:rPr>
            </w:pPr>
          </w:p>
        </w:tc>
        <w:tc>
          <w:tcPr>
            <w:tcW w:w="929" w:type="dxa"/>
            <w:vMerge w:val="continue"/>
            <w:tcBorders>
              <w:top w:val="nil"/>
              <w:left w:val="single" w:color="000000" w:sz="4" w:space="0"/>
              <w:bottom w:val="single" w:color="000000" w:sz="4" w:space="0"/>
              <w:right w:val="single" w:color="000000" w:sz="4" w:space="0"/>
            </w:tcBorders>
            <w:vAlign w:val="center"/>
          </w:tcPr>
          <w:p w14:paraId="23D1CC4B">
            <w:pPr>
              <w:autoSpaceDE w:val="0"/>
              <w:autoSpaceDN w:val="0"/>
              <w:jc w:val="center"/>
              <w:rPr>
                <w:rFonts w:ascii="宋体" w:hAnsi="宋体" w:eastAsia="宋体" w:cs="宋体"/>
                <w:color w:val="auto"/>
                <w:kern w:val="0"/>
                <w:sz w:val="22"/>
                <w:szCs w:val="22"/>
                <w:highlight w:val="none"/>
              </w:rPr>
            </w:pPr>
          </w:p>
        </w:tc>
        <w:tc>
          <w:tcPr>
            <w:tcW w:w="674" w:type="dxa"/>
            <w:vMerge w:val="continue"/>
            <w:tcBorders>
              <w:top w:val="nil"/>
              <w:left w:val="single" w:color="000000" w:sz="4" w:space="0"/>
              <w:bottom w:val="single" w:color="000000" w:sz="4" w:space="0"/>
              <w:right w:val="single" w:color="000000" w:sz="4" w:space="0"/>
            </w:tcBorders>
            <w:vAlign w:val="center"/>
          </w:tcPr>
          <w:p w14:paraId="04BAD89E">
            <w:pPr>
              <w:autoSpaceDE w:val="0"/>
              <w:autoSpaceDN w:val="0"/>
              <w:jc w:val="center"/>
              <w:rPr>
                <w:rFonts w:ascii="宋体" w:hAnsi="宋体" w:eastAsia="宋体" w:cs="宋体"/>
                <w:color w:val="auto"/>
                <w:kern w:val="0"/>
                <w:sz w:val="22"/>
                <w:szCs w:val="22"/>
                <w:highlight w:val="none"/>
              </w:rPr>
            </w:pPr>
          </w:p>
        </w:tc>
        <w:tc>
          <w:tcPr>
            <w:tcW w:w="629" w:type="dxa"/>
            <w:vMerge w:val="continue"/>
            <w:tcBorders>
              <w:top w:val="nil"/>
              <w:left w:val="single" w:color="000000" w:sz="4" w:space="0"/>
              <w:bottom w:val="single" w:color="000000" w:sz="4" w:space="0"/>
              <w:right w:val="single" w:color="000000" w:sz="4" w:space="0"/>
            </w:tcBorders>
            <w:vAlign w:val="center"/>
          </w:tcPr>
          <w:p w14:paraId="5F722A23">
            <w:pPr>
              <w:autoSpaceDE w:val="0"/>
              <w:autoSpaceDN w:val="0"/>
              <w:jc w:val="center"/>
              <w:rPr>
                <w:rFonts w:ascii="宋体" w:hAnsi="宋体" w:eastAsia="宋体" w:cs="宋体"/>
                <w:color w:val="auto"/>
                <w:kern w:val="0"/>
                <w:sz w:val="22"/>
                <w:szCs w:val="22"/>
                <w:highlight w:val="none"/>
              </w:rPr>
            </w:pPr>
          </w:p>
        </w:tc>
      </w:tr>
      <w:tr w14:paraId="360498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38CFA9B1">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794EDDC2">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A47D5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安全管理</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58340A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安全管理执行率：对各项操作均应进行日志记录，内容应包括操作人、操作时间和操作内容等详细信息。运行维护人员应定期对操作日志、安全日志进行审查，对异常事件及时跟进解决，未按照要求执行，每发现1次扣1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B2FB12">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7460A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continue"/>
            <w:tcBorders>
              <w:top w:val="nil"/>
              <w:left w:val="single" w:color="000000" w:sz="4" w:space="0"/>
              <w:bottom w:val="single" w:color="000000" w:sz="4" w:space="0"/>
              <w:right w:val="single" w:color="000000" w:sz="4" w:space="0"/>
            </w:tcBorders>
            <w:vAlign w:val="center"/>
          </w:tcPr>
          <w:p w14:paraId="68867525">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8788E0">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090B7C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2CBC8536">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0800D4F1">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FC6B8F">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安全保密</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D9667DA">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遵守保密原则。对网络、主机、系统软件、应用软件等的密码、核心参数、业务数据等负有保密责任，不得随意复制和传播。</w:t>
            </w:r>
            <w:r>
              <w:rPr>
                <w:rFonts w:hint="eastAsia" w:ascii="仿宋_GB2312" w:hAnsi="仿宋_GB2312" w:eastAsia="仿宋_GB2312" w:cs="仿宋_GB2312"/>
                <w:color w:val="auto"/>
                <w:kern w:val="0"/>
                <w:sz w:val="18"/>
                <w:szCs w:val="22"/>
                <w:highlight w:val="none"/>
                <w:lang w:val="en-US" w:eastAsia="zh-CN"/>
              </w:rPr>
              <w:t>泄漏</w:t>
            </w:r>
            <w:r>
              <w:rPr>
                <w:rFonts w:hint="eastAsia" w:ascii="仿宋_GB2312" w:hAnsi="仿宋_GB2312" w:eastAsia="仿宋_GB2312" w:cs="仿宋_GB2312"/>
                <w:color w:val="auto"/>
                <w:kern w:val="0"/>
                <w:sz w:val="18"/>
                <w:szCs w:val="22"/>
                <w:highlight w:val="none"/>
                <w:lang w:val="en-US" w:eastAsia="zh-Hans"/>
              </w:rPr>
              <w:t>一次扣1分，直至扣完。</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EA7281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9D7C1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continue"/>
            <w:tcBorders>
              <w:top w:val="nil"/>
              <w:left w:val="single" w:color="000000" w:sz="4" w:space="0"/>
              <w:bottom w:val="single" w:color="000000" w:sz="4" w:space="0"/>
              <w:right w:val="single" w:color="000000" w:sz="4" w:space="0"/>
            </w:tcBorders>
            <w:vAlign w:val="center"/>
          </w:tcPr>
          <w:p w14:paraId="552FDADE">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2316E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1B1AD4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91507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4</w:t>
            </w:r>
          </w:p>
        </w:tc>
        <w:tc>
          <w:tcPr>
            <w:tcW w:w="154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FD2E47">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违规操作</w:t>
            </w:r>
          </w:p>
        </w:tc>
        <w:tc>
          <w:tcPr>
            <w:tcW w:w="10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04D7F7">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违规操作事件</w:t>
            </w:r>
          </w:p>
        </w:tc>
        <w:tc>
          <w:tcPr>
            <w:tcW w:w="40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D44ED3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1、遵守现场系统维护的相关要求。因个人维护操作不当等原因，引发系统一级故障或二级故障的情况，为不合格，扣2分；</w:t>
            </w:r>
            <w:r>
              <w:rPr>
                <w:rFonts w:hint="eastAsia" w:ascii="Calibri" w:hAnsi="Calibri" w:eastAsia="宋体" w:cs="Times New Roman"/>
                <w:color w:val="auto"/>
                <w:kern w:val="0"/>
                <w:sz w:val="22"/>
                <w:szCs w:val="22"/>
                <w:highlight w:val="none"/>
                <w:lang w:val="en-US" w:eastAsia="zh-Hans"/>
              </w:rPr>
              <w:br w:type="textWrapping"/>
            </w:r>
            <w:r>
              <w:rPr>
                <w:rFonts w:hint="eastAsia" w:ascii="仿宋_GB2312" w:hAnsi="仿宋_GB2312" w:eastAsia="仿宋_GB2312" w:cs="仿宋_GB2312"/>
                <w:color w:val="auto"/>
                <w:kern w:val="0"/>
                <w:sz w:val="18"/>
                <w:szCs w:val="22"/>
                <w:highlight w:val="none"/>
                <w:lang w:val="en-US" w:eastAsia="zh-Hans"/>
              </w:rPr>
              <w:t>2、按季度汇总系统故障次数，按件考核，每发现1次扣1分，总分3分。</w:t>
            </w:r>
          </w:p>
        </w:tc>
        <w:tc>
          <w:tcPr>
            <w:tcW w:w="80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54CEA2C">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9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238DD1">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674" w:type="dxa"/>
            <w:vMerge w:val="continue"/>
            <w:tcBorders>
              <w:top w:val="nil"/>
              <w:left w:val="single" w:color="000000" w:sz="4" w:space="0"/>
              <w:bottom w:val="single" w:color="000000" w:sz="4" w:space="0"/>
              <w:right w:val="single" w:color="000000" w:sz="4" w:space="0"/>
            </w:tcBorders>
            <w:vAlign w:val="center"/>
          </w:tcPr>
          <w:p w14:paraId="782A79F2">
            <w:pPr>
              <w:autoSpaceDE w:val="0"/>
              <w:autoSpaceDN w:val="0"/>
              <w:jc w:val="center"/>
              <w:rPr>
                <w:rFonts w:ascii="宋体" w:hAnsi="宋体" w:eastAsia="宋体" w:cs="宋体"/>
                <w:color w:val="auto"/>
                <w:kern w:val="0"/>
                <w:sz w:val="22"/>
                <w:szCs w:val="22"/>
                <w:highlight w:val="none"/>
              </w:rPr>
            </w:pPr>
          </w:p>
        </w:tc>
        <w:tc>
          <w:tcPr>
            <w:tcW w:w="6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C10FE4A">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2.5</w:t>
            </w:r>
          </w:p>
        </w:tc>
      </w:tr>
      <w:tr w14:paraId="6931DE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7C0CB8A6">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4618AFD9">
            <w:pPr>
              <w:autoSpaceDE w:val="0"/>
              <w:autoSpaceDN w:val="0"/>
              <w:jc w:val="center"/>
              <w:rPr>
                <w:rFonts w:ascii="宋体" w:hAnsi="宋体" w:eastAsia="宋体" w:cs="宋体"/>
                <w:color w:val="auto"/>
                <w:kern w:val="0"/>
                <w:sz w:val="22"/>
                <w:szCs w:val="22"/>
                <w:highlight w:val="none"/>
              </w:rPr>
            </w:pPr>
          </w:p>
        </w:tc>
        <w:tc>
          <w:tcPr>
            <w:tcW w:w="1019" w:type="dxa"/>
            <w:vMerge w:val="continue"/>
            <w:tcBorders>
              <w:top w:val="nil"/>
              <w:left w:val="single" w:color="000000" w:sz="4" w:space="0"/>
              <w:bottom w:val="single" w:color="000000" w:sz="4" w:space="0"/>
              <w:right w:val="single" w:color="000000" w:sz="4" w:space="0"/>
            </w:tcBorders>
            <w:vAlign w:val="center"/>
          </w:tcPr>
          <w:p w14:paraId="2C1136DE">
            <w:pPr>
              <w:autoSpaceDE w:val="0"/>
              <w:autoSpaceDN w:val="0"/>
              <w:jc w:val="center"/>
              <w:rPr>
                <w:rFonts w:ascii="宋体" w:hAnsi="宋体" w:eastAsia="宋体" w:cs="宋体"/>
                <w:color w:val="auto"/>
                <w:kern w:val="0"/>
                <w:sz w:val="22"/>
                <w:szCs w:val="22"/>
                <w:highlight w:val="none"/>
              </w:rPr>
            </w:pPr>
          </w:p>
        </w:tc>
        <w:tc>
          <w:tcPr>
            <w:tcW w:w="4063" w:type="dxa"/>
            <w:vMerge w:val="continue"/>
            <w:tcBorders>
              <w:top w:val="nil"/>
              <w:left w:val="single" w:color="000000" w:sz="4" w:space="0"/>
              <w:bottom w:val="single" w:color="000000" w:sz="4" w:space="0"/>
              <w:right w:val="single" w:color="000000" w:sz="4" w:space="0"/>
            </w:tcBorders>
            <w:vAlign w:val="center"/>
          </w:tcPr>
          <w:p w14:paraId="15A9B9D2">
            <w:pPr>
              <w:autoSpaceDE w:val="0"/>
              <w:autoSpaceDN w:val="0"/>
              <w:jc w:val="center"/>
              <w:rPr>
                <w:rFonts w:ascii="宋体" w:hAnsi="宋体" w:eastAsia="宋体" w:cs="宋体"/>
                <w:color w:val="auto"/>
                <w:kern w:val="0"/>
                <w:sz w:val="22"/>
                <w:szCs w:val="22"/>
                <w:highlight w:val="none"/>
              </w:rPr>
            </w:pPr>
          </w:p>
        </w:tc>
        <w:tc>
          <w:tcPr>
            <w:tcW w:w="809" w:type="dxa"/>
            <w:vMerge w:val="continue"/>
            <w:tcBorders>
              <w:top w:val="nil"/>
              <w:left w:val="single" w:color="000000" w:sz="4" w:space="0"/>
              <w:bottom w:val="single" w:color="000000" w:sz="4" w:space="0"/>
              <w:right w:val="single" w:color="000000" w:sz="4" w:space="0"/>
            </w:tcBorders>
            <w:vAlign w:val="center"/>
          </w:tcPr>
          <w:p w14:paraId="48B76A19">
            <w:pPr>
              <w:autoSpaceDE w:val="0"/>
              <w:autoSpaceDN w:val="0"/>
              <w:jc w:val="center"/>
              <w:rPr>
                <w:rFonts w:ascii="宋体" w:hAnsi="宋体" w:eastAsia="宋体" w:cs="宋体"/>
                <w:color w:val="auto"/>
                <w:kern w:val="0"/>
                <w:sz w:val="22"/>
                <w:szCs w:val="22"/>
                <w:highlight w:val="none"/>
              </w:rPr>
            </w:pPr>
          </w:p>
        </w:tc>
        <w:tc>
          <w:tcPr>
            <w:tcW w:w="929" w:type="dxa"/>
            <w:vMerge w:val="continue"/>
            <w:tcBorders>
              <w:top w:val="nil"/>
              <w:left w:val="single" w:color="000000" w:sz="4" w:space="0"/>
              <w:bottom w:val="single" w:color="000000" w:sz="4" w:space="0"/>
              <w:right w:val="single" w:color="000000" w:sz="4" w:space="0"/>
            </w:tcBorders>
            <w:vAlign w:val="center"/>
          </w:tcPr>
          <w:p w14:paraId="5B8B2177">
            <w:pPr>
              <w:autoSpaceDE w:val="0"/>
              <w:autoSpaceDN w:val="0"/>
              <w:jc w:val="center"/>
              <w:rPr>
                <w:rFonts w:ascii="宋体" w:hAnsi="宋体" w:eastAsia="宋体" w:cs="宋体"/>
                <w:color w:val="auto"/>
                <w:kern w:val="0"/>
                <w:sz w:val="22"/>
                <w:szCs w:val="22"/>
                <w:highlight w:val="none"/>
              </w:rPr>
            </w:pPr>
          </w:p>
        </w:tc>
        <w:tc>
          <w:tcPr>
            <w:tcW w:w="674" w:type="dxa"/>
            <w:vMerge w:val="continue"/>
            <w:tcBorders>
              <w:top w:val="nil"/>
              <w:left w:val="single" w:color="000000" w:sz="4" w:space="0"/>
              <w:bottom w:val="single" w:color="000000" w:sz="4" w:space="0"/>
              <w:right w:val="single" w:color="000000" w:sz="4" w:space="0"/>
            </w:tcBorders>
            <w:vAlign w:val="center"/>
          </w:tcPr>
          <w:p w14:paraId="59C9AAC6">
            <w:pPr>
              <w:autoSpaceDE w:val="0"/>
              <w:autoSpaceDN w:val="0"/>
              <w:jc w:val="center"/>
              <w:rPr>
                <w:rFonts w:ascii="宋体" w:hAnsi="宋体" w:eastAsia="宋体" w:cs="宋体"/>
                <w:color w:val="auto"/>
                <w:kern w:val="0"/>
                <w:sz w:val="22"/>
                <w:szCs w:val="22"/>
                <w:highlight w:val="none"/>
              </w:rPr>
            </w:pPr>
          </w:p>
        </w:tc>
        <w:tc>
          <w:tcPr>
            <w:tcW w:w="629" w:type="dxa"/>
            <w:vMerge w:val="continue"/>
            <w:tcBorders>
              <w:top w:val="nil"/>
              <w:left w:val="single" w:color="000000" w:sz="4" w:space="0"/>
              <w:bottom w:val="single" w:color="000000" w:sz="4" w:space="0"/>
              <w:right w:val="single" w:color="000000" w:sz="4" w:space="0"/>
            </w:tcBorders>
            <w:vAlign w:val="center"/>
          </w:tcPr>
          <w:p w14:paraId="6677BA81">
            <w:pPr>
              <w:autoSpaceDE w:val="0"/>
              <w:autoSpaceDN w:val="0"/>
              <w:jc w:val="center"/>
              <w:rPr>
                <w:rFonts w:ascii="宋体" w:hAnsi="宋体" w:eastAsia="宋体" w:cs="宋体"/>
                <w:color w:val="auto"/>
                <w:kern w:val="0"/>
                <w:sz w:val="22"/>
                <w:szCs w:val="22"/>
                <w:highlight w:val="none"/>
              </w:rPr>
            </w:pPr>
          </w:p>
        </w:tc>
      </w:tr>
      <w:tr w14:paraId="5A1860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5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76A1E7">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c>
          <w:tcPr>
            <w:tcW w:w="154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9539D95">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红线扣分项目</w:t>
            </w: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EADFC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安全事故</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CD24F9">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由于人为失误造成网络安全、信息安全、生产安全事件的，酌情扣5-10分。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A3CA0A">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10</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1FEE77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10</w:t>
            </w:r>
          </w:p>
        </w:tc>
        <w:tc>
          <w:tcPr>
            <w:tcW w:w="674" w:type="dxa"/>
            <w:vMerge w:val="continue"/>
            <w:tcBorders>
              <w:top w:val="nil"/>
              <w:left w:val="single" w:color="000000" w:sz="4" w:space="0"/>
              <w:bottom w:val="single" w:color="000000" w:sz="4" w:space="0"/>
              <w:right w:val="single" w:color="000000" w:sz="4" w:space="0"/>
            </w:tcBorders>
            <w:vAlign w:val="center"/>
          </w:tcPr>
          <w:p w14:paraId="7D7992B6">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37B392">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r>
      <w:tr w14:paraId="1636C2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59" w:type="dxa"/>
            <w:vMerge w:val="continue"/>
            <w:tcBorders>
              <w:top w:val="nil"/>
              <w:left w:val="single" w:color="000000" w:sz="4" w:space="0"/>
              <w:bottom w:val="single" w:color="000000" w:sz="4" w:space="0"/>
              <w:right w:val="single" w:color="000000" w:sz="4" w:space="0"/>
            </w:tcBorders>
            <w:vAlign w:val="center"/>
          </w:tcPr>
          <w:p w14:paraId="4632E54C">
            <w:pPr>
              <w:autoSpaceDE w:val="0"/>
              <w:autoSpaceDN w:val="0"/>
              <w:jc w:val="center"/>
              <w:rPr>
                <w:rFonts w:ascii="宋体" w:hAnsi="宋体" w:eastAsia="宋体" w:cs="宋体"/>
                <w:color w:val="auto"/>
                <w:kern w:val="0"/>
                <w:sz w:val="22"/>
                <w:szCs w:val="22"/>
                <w:highlight w:val="none"/>
              </w:rPr>
            </w:pPr>
          </w:p>
        </w:tc>
        <w:tc>
          <w:tcPr>
            <w:tcW w:w="1544" w:type="dxa"/>
            <w:vMerge w:val="continue"/>
            <w:tcBorders>
              <w:top w:val="nil"/>
              <w:left w:val="single" w:color="000000" w:sz="4" w:space="0"/>
              <w:bottom w:val="single" w:color="000000" w:sz="4" w:space="0"/>
              <w:right w:val="single" w:color="000000" w:sz="4" w:space="0"/>
            </w:tcBorders>
            <w:vAlign w:val="center"/>
          </w:tcPr>
          <w:p w14:paraId="1D834FC0">
            <w:pPr>
              <w:autoSpaceDE w:val="0"/>
              <w:autoSpaceDN w:val="0"/>
              <w:jc w:val="center"/>
              <w:rPr>
                <w:rFonts w:ascii="宋体" w:hAnsi="宋体" w:eastAsia="宋体" w:cs="宋体"/>
                <w:color w:val="auto"/>
                <w:kern w:val="0"/>
                <w:sz w:val="22"/>
                <w:szCs w:val="22"/>
                <w:highlight w:val="none"/>
              </w:rPr>
            </w:pPr>
          </w:p>
        </w:tc>
        <w:tc>
          <w:tcPr>
            <w:tcW w:w="10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3148B5">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人为失误</w:t>
            </w:r>
          </w:p>
        </w:tc>
        <w:tc>
          <w:tcPr>
            <w:tcW w:w="40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E45327D">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由于人为失误造成的对IT系统、网络、服务器、无人机硬件设备等故障，对客户或业务造成影响的，酌情扣5-10分。</w:t>
            </w:r>
          </w:p>
        </w:tc>
        <w:tc>
          <w:tcPr>
            <w:tcW w:w="80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BA1DB3A">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10</w:t>
            </w:r>
          </w:p>
        </w:tc>
        <w:tc>
          <w:tcPr>
            <w:tcW w:w="9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BB8983">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10</w:t>
            </w:r>
          </w:p>
        </w:tc>
        <w:tc>
          <w:tcPr>
            <w:tcW w:w="674" w:type="dxa"/>
            <w:vMerge w:val="continue"/>
            <w:tcBorders>
              <w:top w:val="nil"/>
              <w:left w:val="single" w:color="000000" w:sz="4" w:space="0"/>
              <w:bottom w:val="single" w:color="000000" w:sz="4" w:space="0"/>
              <w:right w:val="single" w:color="000000" w:sz="4" w:space="0"/>
            </w:tcBorders>
            <w:vAlign w:val="center"/>
          </w:tcPr>
          <w:p w14:paraId="4346DDA3">
            <w:pPr>
              <w:autoSpaceDE w:val="0"/>
              <w:autoSpaceDN w:val="0"/>
              <w:jc w:val="center"/>
              <w:rPr>
                <w:rFonts w:ascii="宋体" w:hAnsi="宋体" w:eastAsia="宋体" w:cs="宋体"/>
                <w:color w:val="auto"/>
                <w:kern w:val="0"/>
                <w:sz w:val="22"/>
                <w:szCs w:val="22"/>
                <w:highlight w:val="none"/>
              </w:rPr>
            </w:pPr>
          </w:p>
        </w:tc>
        <w:tc>
          <w:tcPr>
            <w:tcW w:w="6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D6129DE">
            <w:pPr>
              <w:autoSpaceDE w:val="0"/>
              <w:autoSpaceDN w:val="0"/>
              <w:jc w:val="center"/>
              <w:rPr>
                <w:rFonts w:hint="eastAsia" w:ascii="Calibri" w:hAnsi="Calibri" w:eastAsia="宋体" w:cs="Times New Roman"/>
                <w:color w:val="auto"/>
                <w:kern w:val="0"/>
                <w:sz w:val="22"/>
                <w:szCs w:val="22"/>
                <w:highlight w:val="none"/>
                <w:lang w:val="en-US" w:eastAsia="zh-Hans"/>
              </w:rPr>
            </w:pPr>
            <w:r>
              <w:rPr>
                <w:rFonts w:hint="eastAsia" w:ascii="仿宋_GB2312" w:hAnsi="仿宋_GB2312" w:eastAsia="仿宋_GB2312" w:cs="仿宋_GB2312"/>
                <w:color w:val="auto"/>
                <w:kern w:val="0"/>
                <w:sz w:val="18"/>
                <w:szCs w:val="22"/>
                <w:highlight w:val="none"/>
                <w:lang w:val="en-US" w:eastAsia="zh-Hans"/>
              </w:rPr>
              <w:t>5</w:t>
            </w:r>
          </w:p>
        </w:tc>
      </w:tr>
    </w:tbl>
    <w:p w14:paraId="7DE807DC">
      <w:pPr>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11.机库选点及要求</w:t>
      </w:r>
    </w:p>
    <w:p w14:paraId="7E6824AA">
      <w:pPr>
        <w:ind w:firstLine="400" w:firstLineChars="200"/>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本项目共部署</w:t>
      </w:r>
      <w:r>
        <w:rPr>
          <w:rFonts w:hint="eastAsia" w:ascii="仿宋_GB2312" w:hAnsi="仿宋_GB2312" w:eastAsia="仿宋_GB2312" w:cs="仿宋_GB2312"/>
          <w:sz w:val="20"/>
          <w:szCs w:val="20"/>
          <w:highlight w:val="none"/>
          <w:lang w:val="en-US" w:eastAsia="zh-CN"/>
        </w:rPr>
        <w:t>18</w:t>
      </w:r>
      <w:r>
        <w:rPr>
          <w:rFonts w:hint="eastAsia" w:ascii="仿宋_GB2312" w:hAnsi="仿宋_GB2312" w:eastAsia="仿宋_GB2312" w:cs="仿宋_GB2312"/>
          <w:sz w:val="20"/>
          <w:szCs w:val="20"/>
          <w:highlight w:val="none"/>
          <w:lang w:val="en-US" w:eastAsia="zh-Hans"/>
        </w:rPr>
        <w:t>套无人机设备</w:t>
      </w:r>
      <w:r>
        <w:rPr>
          <w:rFonts w:hint="eastAsia" w:ascii="仿宋_GB2312" w:hAnsi="仿宋_GB2312" w:eastAsia="仿宋_GB2312" w:cs="仿宋_GB2312"/>
          <w:sz w:val="20"/>
          <w:szCs w:val="20"/>
          <w:highlight w:val="none"/>
          <w:lang w:val="en-US" w:eastAsia="zh-CN"/>
        </w:rPr>
        <w:t>（</w:t>
      </w:r>
      <w:r>
        <w:rPr>
          <w:rFonts w:hint="eastAsia" w:ascii="仿宋_GB2312" w:hAnsi="仿宋_GB2312" w:eastAsia="仿宋_GB2312" w:cs="仿宋_GB2312"/>
          <w:sz w:val="20"/>
          <w:szCs w:val="20"/>
          <w:highlight w:val="none"/>
          <w:lang w:val="en-US" w:eastAsia="zh-Hans"/>
        </w:rPr>
        <w:t>含机库、无人机</w:t>
      </w:r>
      <w:r>
        <w:rPr>
          <w:rFonts w:hint="eastAsia" w:ascii="仿宋_GB2312" w:hAnsi="仿宋_GB2312" w:eastAsia="仿宋_GB2312" w:cs="仿宋_GB2312"/>
          <w:sz w:val="20"/>
          <w:szCs w:val="20"/>
          <w:highlight w:val="none"/>
          <w:lang w:val="en-US" w:eastAsia="zh-CN"/>
        </w:rPr>
        <w:t>）</w:t>
      </w:r>
      <w:r>
        <w:rPr>
          <w:rFonts w:hint="eastAsia" w:ascii="仿宋_GB2312" w:hAnsi="仿宋_GB2312" w:eastAsia="仿宋_GB2312" w:cs="仿宋_GB2312"/>
          <w:sz w:val="20"/>
          <w:szCs w:val="20"/>
          <w:highlight w:val="none"/>
          <w:lang w:val="en-US" w:eastAsia="zh-Hans"/>
        </w:rPr>
        <w:t>，以部署位置为中心点，覆盖半径7公里区域。初步选点如下表</w:t>
      </w:r>
      <w:r>
        <w:rPr>
          <w:rFonts w:hint="eastAsia" w:ascii="仿宋_GB2312" w:hAnsi="仿宋_GB2312" w:eastAsia="仿宋_GB2312" w:cs="仿宋_GB2312"/>
          <w:b/>
          <w:sz w:val="20"/>
          <w:szCs w:val="20"/>
          <w:highlight w:val="none"/>
          <w:lang w:val="en-US" w:eastAsia="zh-Hans"/>
        </w:rPr>
        <w:t>（最终选点根据实际情况确定）</w:t>
      </w:r>
      <w:r>
        <w:rPr>
          <w:rFonts w:hint="eastAsia" w:ascii="仿宋_GB2312" w:hAnsi="仿宋_GB2312" w:eastAsia="仿宋_GB2312" w:cs="仿宋_GB2312"/>
          <w:sz w:val="20"/>
          <w:szCs w:val="20"/>
          <w:highlight w:val="none"/>
          <w:lang w:val="en-US" w:eastAsia="zh-Hans"/>
        </w:rPr>
        <w:t>:</w:t>
      </w:r>
    </w:p>
    <w:tbl>
      <w:tblPr>
        <w:tblStyle w:val="2"/>
        <w:tblW w:w="88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3274"/>
        <w:gridCol w:w="3154"/>
        <w:gridCol w:w="1697"/>
      </w:tblGrid>
      <w:tr w14:paraId="543C0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EDF0">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序号</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CA21">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县、乡镇、村、公家单位大楼（名称）</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4EFA">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详细地址（楼层）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7D18">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备注</w:t>
            </w:r>
          </w:p>
        </w:tc>
      </w:tr>
      <w:tr w14:paraId="18320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911F">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6337">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洋中镇龙洋村</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BF67">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福建省尤溪县洋中镇龙洋村官丁山（地面安装）</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17E6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根据实际情况确定</w:t>
            </w:r>
          </w:p>
        </w:tc>
      </w:tr>
      <w:tr w14:paraId="37BB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160C">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4ADB">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洋中镇康林村委会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91E6">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福建省三明市尤溪县洋中镇康林村东坑洋50号</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140FB">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r>
      <w:tr w14:paraId="4ACFF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3BBD">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2</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8647">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洋中镇官洋村</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7545">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福建省三明市尤溪县洋中镇官洋村中心街9号（地面安装）</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8A8A">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3117B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7F657">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3</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C0F0">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汤川乡白际村</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08BE">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福建省三明市尤溪县汤川乡白际村11号</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1D2AC">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根据实际情况确定</w:t>
            </w:r>
          </w:p>
        </w:tc>
      </w:tr>
      <w:tr w14:paraId="7FF47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2A126">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1D07">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汤川乡胡厝村横坑</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BE09">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福建省三明市尤溪县汤川乡胡厝村横坑小学14号（2层）</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71DA8">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r>
      <w:tr w14:paraId="6AE01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7949D">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4</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7219">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①汤川乡溪坪村小学操场/②村委会对面操场</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0331F">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福建省尤溪县汤川乡溪坪村137号（废弃小学操场）</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2567D">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根据实际情况确定</w:t>
            </w:r>
          </w:p>
        </w:tc>
      </w:tr>
      <w:tr w14:paraId="460C2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CBABE">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1359">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汤川乡山兜村委会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384D">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福建省三明市尤溪县汤川乡山兜村100号 隔壁栋2层</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AFF25">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r>
      <w:tr w14:paraId="62FD4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F72B">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5</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E17B">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汤川乡黄林村委会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E23E">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福建省三明市尤溪县汤川乡黄林村1号 旧小学3层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FBC6">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1C16F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E31B">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6</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E0F7">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联合镇人民政府</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0370">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福建省三明市尤溪县联合镇丹滨中路1号 7层顶</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C8E1">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1C30D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8FBC9">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7</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442E">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西滨镇人民政府</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9DD2">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福建省三明市尤溪县西滨镇西洋东街8号 对面5层顶</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8D608">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根据实际情况确定</w:t>
            </w:r>
          </w:p>
        </w:tc>
      </w:tr>
      <w:tr w14:paraId="23A8F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3BEE3">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DC1C">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西滨镇拾福生鲜超市楼顶</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BE9E">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福建省尤溪县西滨镇西洋西街2号 6层</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0F814">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r>
      <w:tr w14:paraId="11C5A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26C5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8</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79E9">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八字桥乡司法所</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02FC">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三明市尤溪县莲花东街与莲花街交叉口西北50米4层</w:t>
            </w:r>
          </w:p>
        </w:tc>
        <w:tc>
          <w:tcPr>
            <w:tcW w:w="1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BA94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根据实际情况确定</w:t>
            </w:r>
          </w:p>
        </w:tc>
      </w:tr>
      <w:tr w14:paraId="0557F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41258">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5B5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八字桥乡中学</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5D74">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福建省三明市尤溪县八字桥乡莲花东街65号 3层</w:t>
            </w:r>
          </w:p>
        </w:tc>
        <w:tc>
          <w:tcPr>
            <w:tcW w:w="1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A7BDB">
            <w:pPr>
              <w:autoSpaceDE w:val="0"/>
              <w:autoSpaceDN w:val="0"/>
              <w:jc w:val="center"/>
              <w:rPr>
                <w:rFonts w:hint="eastAsia" w:ascii="仿宋_GB2312" w:hAnsi="仿宋_GB2312" w:eastAsia="仿宋_GB2312" w:cs="仿宋_GB2312"/>
                <w:b/>
                <w:bCs/>
                <w:i w:val="0"/>
                <w:iCs w:val="0"/>
                <w:color w:val="000000"/>
                <w:kern w:val="0"/>
                <w:sz w:val="20"/>
                <w:szCs w:val="20"/>
                <w:highlight w:val="none"/>
                <w:u w:val="none"/>
              </w:rPr>
            </w:pPr>
          </w:p>
        </w:tc>
      </w:tr>
      <w:tr w14:paraId="3FDA0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E433">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9</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F0EE">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新阳镇双鲤村邮政楼上</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4385">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福建省尤溪县新阳镇双鲤村铜盘街26-1号 3层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AA65">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4839B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4884C">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10</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1EFC">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板面镇敬老院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1680">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福建省三明市尤溪县坂面镇坂面村后吉2号</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CCC7">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4E270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FBF2">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11</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ECB3">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板面镇正山村委会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EB22">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福建省三明市尤溪县坂面镇正山村</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AB6B">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45404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4EEF">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12</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F8CD">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中仙镇人民政府</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7C69">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三明市尤溪县中仙镇中仙村中心街36号 6层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8148">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5A102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190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13</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B68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中仙镇华口村小学</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CB74">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福建省三明市尤溪县中仙乡华口村19-20号 3层顶</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276A">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4FB04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A418">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14</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065D">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西城镇文峰村委会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57C6">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福建省三明市尤溪县西城镇文峰村51号 3层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A567">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0550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789C">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15</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5DC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西城镇东村村委会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27BA">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福建省三明市尤溪县西城镇东村村</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ADFC">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710F8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054A">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16</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60BC">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梅仙镇中国税务</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6763">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福建省三明市尤溪县梅仙镇梅新路17号 6层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9EE5">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0CC54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ABC8">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17</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4897">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台溪乡人民政府综治中心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A5BE">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福建省尤溪县台溪乡富山街195号 4层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F336">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r w14:paraId="2383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61D9">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18</w:t>
            </w:r>
          </w:p>
        </w:tc>
        <w:tc>
          <w:tcPr>
            <w:tcW w:w="3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3C1A6">
            <w:pPr>
              <w:keepNext w:val="0"/>
              <w:keepLines w:val="0"/>
              <w:widowControl/>
              <w:suppressLineNumbers w:val="0"/>
              <w:autoSpaceDE w:val="0"/>
              <w:autoSpaceDN w:val="0"/>
              <w:jc w:val="center"/>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溪尾乡消防所</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71D9">
            <w:pPr>
              <w:keepNext w:val="0"/>
              <w:keepLines w:val="0"/>
              <w:widowControl/>
              <w:suppressLineNumbers w:val="0"/>
              <w:autoSpaceDE w:val="0"/>
              <w:autoSpaceDN w:val="0"/>
              <w:jc w:val="left"/>
              <w:textAlignment w:val="center"/>
              <w:rPr>
                <w:rFonts w:hint="eastAsia" w:ascii="仿宋_GB2312" w:hAnsi="仿宋_GB2312" w:eastAsia="仿宋_GB2312" w:cs="仿宋_GB2312"/>
                <w:b/>
                <w:bCs/>
                <w:i w:val="0"/>
                <w:iCs w:val="0"/>
                <w:color w:val="000000"/>
                <w:kern w:val="0"/>
                <w:sz w:val="20"/>
                <w:szCs w:val="20"/>
                <w:highlight w:val="none"/>
                <w:u w:val="none"/>
              </w:rPr>
            </w:pPr>
            <w:r>
              <w:rPr>
                <w:rFonts w:hint="eastAsia" w:ascii="仿宋_GB2312" w:hAnsi="仿宋_GB2312" w:eastAsia="仿宋_GB2312" w:cs="仿宋_GB2312"/>
                <w:b/>
                <w:bCs/>
                <w:i w:val="0"/>
                <w:iCs w:val="0"/>
                <w:color w:val="000000"/>
                <w:kern w:val="0"/>
                <w:sz w:val="20"/>
                <w:szCs w:val="20"/>
                <w:highlight w:val="none"/>
                <w:u w:val="none"/>
                <w:lang w:val="en-US" w:eastAsia="zh-CN" w:bidi="ar"/>
              </w:rPr>
              <w:t>福建省三明市尤溪县溪尾乡新洋街3号  2层</w:t>
            </w:r>
          </w:p>
        </w:tc>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AC87">
            <w:pPr>
              <w:autoSpaceDE w:val="0"/>
              <w:autoSpaceDN w:val="0"/>
              <w:jc w:val="left"/>
              <w:rPr>
                <w:rFonts w:hint="eastAsia" w:ascii="仿宋_GB2312" w:hAnsi="仿宋_GB2312" w:eastAsia="仿宋_GB2312" w:cs="仿宋_GB2312"/>
                <w:b/>
                <w:bCs/>
                <w:i w:val="0"/>
                <w:iCs w:val="0"/>
                <w:color w:val="000000"/>
                <w:kern w:val="0"/>
                <w:sz w:val="20"/>
                <w:szCs w:val="20"/>
                <w:highlight w:val="none"/>
                <w:u w:val="none"/>
              </w:rPr>
            </w:pPr>
          </w:p>
        </w:tc>
      </w:tr>
    </w:tbl>
    <w:p w14:paraId="4E561419">
      <w:pPr>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b/>
          <w:sz w:val="20"/>
          <w:szCs w:val="20"/>
          <w:highlight w:val="none"/>
          <w:lang w:val="en-US" w:eastAsia="zh-Hans"/>
        </w:rPr>
        <w:t>注：</w:t>
      </w:r>
    </w:p>
    <w:p w14:paraId="72C2D9EE">
      <w:pPr>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11.1智能机库选址责任条款</w:t>
      </w:r>
    </w:p>
    <w:p w14:paraId="5BC32EC2">
      <w:pPr>
        <w:ind w:firstLine="420"/>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11.1.1投标人须履行属地协调义务落实项目选址落地。选址需同时满足以下条件：符合当地国土空间规划、低空空域管理要求及市政设施布局规范和机库建设安全需要；具备无人机起降、充电/换电、数据传输的基础条件；无产权纠纷、无拆迁征收风险，且不影响周边居民正常生活及公共安全。</w:t>
      </w:r>
    </w:p>
    <w:p w14:paraId="06BA0E4F">
      <w:pPr>
        <w:ind w:firstLine="420"/>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11.1.2投标人因选址沟通不畅、方案不符合属地要求导致的部署延迟、成本增加等后果，由投标人自行承担。</w:t>
      </w:r>
    </w:p>
    <w:p w14:paraId="74AF3B63">
      <w:pPr>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11.2运营费用承担条款</w:t>
      </w:r>
    </w:p>
    <w:p w14:paraId="03375184">
      <w:pPr>
        <w:ind w:firstLine="420"/>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11.2.1服务期内，项目产生的所有运营费用均由中标人全额承担，包括但不限于：智能机库及无人机的日常运维费用（含设备维护、软件升级、人工巡检等）；设备运行产生的电费、网络通信费（含5G/专网流量费、数据存储费）、基站建设的费用等；</w:t>
      </w:r>
    </w:p>
    <w:p w14:paraId="7E0AAFF8">
      <w:pPr>
        <w:ind w:firstLine="420"/>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11.2.2因设备部署、运行产生的其他第三方费用（如空域申请费、数据接入费、保险费等），招标人无需就上述任何费用向中标人支付补贴或补偿。</w:t>
      </w:r>
    </w:p>
    <w:p w14:paraId="23ACCF71">
      <w:pPr>
        <w:jc w:val="both"/>
        <w:rPr>
          <w:rFonts w:hint="eastAsia" w:ascii="仿宋_GB2312" w:hAnsi="仿宋_GB2312" w:eastAsia="仿宋_GB2312" w:cs="仿宋_GB2312"/>
          <w:sz w:val="20"/>
          <w:szCs w:val="20"/>
          <w:highlight w:val="none"/>
          <w:lang w:val="en-US" w:eastAsia="zh-Hans"/>
        </w:rPr>
      </w:pPr>
      <w:r>
        <w:rPr>
          <w:rFonts w:hint="eastAsia" w:ascii="仿宋_GB2312" w:hAnsi="仿宋_GB2312" w:eastAsia="仿宋_GB2312" w:cs="仿宋_GB2312"/>
          <w:sz w:val="20"/>
          <w:szCs w:val="20"/>
          <w:highlight w:val="none"/>
          <w:lang w:val="en-US" w:eastAsia="zh-Hans"/>
        </w:rPr>
        <w:t>11.3部署风险条款</w:t>
      </w:r>
    </w:p>
    <w:p w14:paraId="1012752E">
      <w:pPr>
        <w:ind w:firstLine="420"/>
        <w:rPr>
          <w:rFonts w:hint="eastAsia" w:ascii="Calibri" w:hAnsi="Calibri" w:eastAsia="宋体" w:cs="Times New Roman"/>
          <w:highlight w:val="none"/>
          <w:lang w:val="en-US" w:eastAsia="zh-Hans"/>
        </w:rPr>
      </w:pPr>
      <w:r>
        <w:rPr>
          <w:rFonts w:hint="eastAsia" w:ascii="仿宋_GB2312" w:hAnsi="仿宋_GB2312" w:eastAsia="仿宋_GB2312" w:cs="仿宋_GB2312"/>
          <w:sz w:val="20"/>
          <w:szCs w:val="20"/>
          <w:highlight w:val="none"/>
          <w:lang w:val="en-US" w:eastAsia="zh-Hans"/>
        </w:rPr>
        <w:t>中标人承诺对智能机库部署过程中的所有风险承担以下责任，包括但不限于：因选址不当导致的拆迁补偿、土地收回、相邻权纠纷等，由此产生的一切费用（含赔偿金、诉讼费、律师费等）由中标人全额承担，招标人不承担任何连带责任；因设备部署、运行引发的安全事故（如坠机伤人、电磁干扰、数据泄露等），中标人需依法承担民事赔偿、行政处罚及刑事责任，并赔偿招标人因此遭受的全部损失；因政策调整、属地规划变更导致设备无法继续运行的，中标人需自行完成设备迁移、拆除或报废，相关费用及损失由中标人承担，招标人不予补偿。若因上述风险导致项目无法按期交付或服务质量不达标，中标人需按合同约定承担违约责任，包括但不限于退还已收取的服务费用、支付违约金、赔偿招标人损失等。</w:t>
      </w:r>
    </w:p>
    <w:p w14:paraId="7E694C0F">
      <w:pPr>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12.保密责任</w:t>
      </w:r>
    </w:p>
    <w:p w14:paraId="3DA372FA">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12.1</w:t>
      </w:r>
      <w:r>
        <w:rPr>
          <w:rFonts w:hint="eastAsia" w:ascii="仿宋_GB2312" w:hAnsi="仿宋_GB2312" w:eastAsia="仿宋_GB2312" w:cs="仿宋_GB2312"/>
          <w:sz w:val="20"/>
          <w:highlight w:val="none"/>
          <w:lang w:val="en-US" w:eastAsia="zh-Hans"/>
        </w:rPr>
        <w:t>保密信息范围包括但不限于：招标人提供的巡查区域地理坐标、设施布局图、安防系统参数、巡检时间表；本项目采集的影像/热力图等原始数据及分析报告；无人机飞行路径规划、避障算法、软硬件配置参数；招标人指定的敏感区域清单（如电力设施、油气管道、军事禁区周边等）；其他履约过程中形成的监测数据。</w:t>
      </w:r>
    </w:p>
    <w:p w14:paraId="329853B2">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sz w:val="20"/>
          <w:highlight w:val="none"/>
          <w:lang w:val="en-US" w:eastAsia="zh-Hans"/>
        </w:rPr>
        <w:t>12.2对于在采购和合同履行过程中所获悉的属于保密的内容，中标人均负有保密义务。</w:t>
      </w:r>
    </w:p>
    <w:p w14:paraId="08211B62">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sz w:val="20"/>
          <w:highlight w:val="none"/>
          <w:lang w:val="en-US" w:eastAsia="zh-Hans"/>
        </w:rPr>
        <w:t>12.3其他：不论何时，中标人都应承担监测数据的保密责任。中标人按照招标人的要求，进行报告和传输有关的监测数据，均不得向外界传递任何监测数据。</w:t>
      </w:r>
    </w:p>
    <w:p w14:paraId="3B447DD3">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sz w:val="20"/>
          <w:highlight w:val="none"/>
          <w:lang w:val="en-US" w:eastAsia="zh-Hans"/>
        </w:rPr>
        <w:t>12.4为履行保密约定，中标人应当采取不低于行业标准的保密措施（如数据加密存储、访问权限分级、物理隔离无人机控制终端等），且确保与参与履约人员签订保密协议，并对参与人员进行了保密培训。</w:t>
      </w:r>
    </w:p>
    <w:p w14:paraId="11FF55C1">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sz w:val="20"/>
          <w:highlight w:val="none"/>
          <w:lang w:val="en-US" w:eastAsia="zh-Hans"/>
        </w:rPr>
        <w:t>12.5一旦发生保密信息泄露，中标人必须在1小时内通知招标人，并配合采取阻断措施。</w:t>
      </w:r>
      <w:r>
        <w:rPr>
          <w:rFonts w:hint="eastAsia" w:ascii="仿宋_GB2312" w:hAnsi="仿宋_GB2312" w:eastAsia="仿宋_GB2312" w:cs="仿宋_GB2312"/>
          <w:color w:val="000000"/>
          <w:sz w:val="20"/>
          <w:highlight w:val="none"/>
          <w:lang w:val="en-US" w:eastAsia="zh-Hans"/>
        </w:rPr>
        <w:t>不论何时，中标人都应承担监测数据的保密责任。中标人按照招标人的要求，进行报告和传输有关的监测数据，均不得向外界传递任何监测数据。</w:t>
      </w:r>
    </w:p>
    <w:p w14:paraId="41C8A2D3">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12.6若中标人泄露敏感区域信息导致国家安全风险，招标人有权立即终止合同，并追究中标人法律责任，中标人还须赔偿招标人损失（含直接损失和间接损失）。</w:t>
      </w:r>
    </w:p>
    <w:p w14:paraId="03CD39B9">
      <w:pPr>
        <w:rPr>
          <w:rFonts w:hint="eastAsia" w:ascii="Calibri" w:hAnsi="Calibri" w:eastAsia="宋体" w:cs="Times New Roman"/>
          <w:highlight w:val="none"/>
          <w:lang w:val="en-US" w:eastAsia="zh-Hans"/>
        </w:rPr>
      </w:pPr>
      <w:r>
        <w:rPr>
          <w:rFonts w:hint="eastAsia" w:ascii="仿宋_GB2312" w:hAnsi="仿宋_GB2312" w:eastAsia="仿宋_GB2312" w:cs="仿宋_GB2312"/>
          <w:b/>
          <w:color w:val="000000"/>
          <w:sz w:val="20"/>
          <w:highlight w:val="none"/>
          <w:lang w:val="en-US" w:eastAsia="zh-Hans"/>
        </w:rPr>
        <w:t>13.主要违约责任</w:t>
      </w:r>
    </w:p>
    <w:p w14:paraId="0030EB0E">
      <w:pPr>
        <w:ind w:firstLine="400"/>
        <w:rPr>
          <w:rFonts w:hint="eastAsia" w:ascii="Calibri" w:hAnsi="Calibri" w:eastAsia="仿宋_GB2312" w:cs="Times New Roman"/>
          <w:highlight w:val="none"/>
          <w:lang w:val="en-US" w:eastAsia="zh-CN"/>
        </w:rPr>
      </w:pPr>
      <w:r>
        <w:rPr>
          <w:rFonts w:hint="eastAsia" w:ascii="仿宋_GB2312" w:hAnsi="仿宋_GB2312" w:eastAsia="仿宋_GB2312" w:cs="仿宋_GB2312"/>
          <w:color w:val="000000"/>
          <w:sz w:val="20"/>
          <w:highlight w:val="none"/>
          <w:lang w:val="en-US" w:eastAsia="zh-Hans"/>
        </w:rPr>
        <w:t>13.1</w:t>
      </w:r>
      <w:r>
        <w:rPr>
          <w:rFonts w:hint="eastAsia" w:ascii="仿宋_GB2312" w:hAnsi="仿宋_GB2312" w:eastAsia="仿宋_GB2312" w:cs="仿宋_GB2312"/>
          <w:color w:val="000000"/>
          <w:sz w:val="20"/>
          <w:highlight w:val="none"/>
          <w:lang w:val="en-US" w:eastAsia="zh-CN"/>
        </w:rPr>
        <w:t>中标人未能在60个日历日内完成硬件部署及平台系统初试并提交初步验收申请的，每逾期一日，应按合同总价的0.5‰向招标人支付违约金；逾期超过30日历日的，招标人有权单方解除合同。</w:t>
      </w:r>
    </w:p>
    <w:p w14:paraId="0327BC80">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13.2提供的服务不符合招标文件约定的，视为中标人严重违约，中标人应按服务费总额的10%向招标人支付违约金，因此造成招标人或第三方经济损失的，中标人还应承担赔偿经济损失等全部法律责任，招标人还有权解除本合同。</w:t>
      </w:r>
    </w:p>
    <w:p w14:paraId="18924EDE">
      <w:pPr>
        <w:ind w:firstLine="400"/>
        <w:rPr>
          <w:rFonts w:hint="eastAsia" w:ascii="Calibri" w:hAnsi="Calibri" w:eastAsia="宋体" w:cs="Times New Roman"/>
          <w:highlight w:val="none"/>
          <w:lang w:val="en-US" w:eastAsia="zh-Hans"/>
        </w:rPr>
      </w:pPr>
      <w:r>
        <w:rPr>
          <w:rFonts w:hint="eastAsia" w:ascii="仿宋_GB2312" w:hAnsi="仿宋_GB2312" w:eastAsia="仿宋_GB2312" w:cs="仿宋_GB2312"/>
          <w:color w:val="000000"/>
          <w:sz w:val="20"/>
          <w:highlight w:val="none"/>
          <w:lang w:val="en-US" w:eastAsia="zh-Hans"/>
        </w:rPr>
        <w:t>13.3中标人于中标通知书发出后，无正当理由未在法定期限内与招标人签订政府采购合同，或因自身原因导致合同无法按期签订，进而影响项目采购进度、造成招标人损失的，招标人有权将该投标人列入本单位‘不良供应商名单’（即‘黑名单’），并在三年内禁止其参与本单位所有政府采购项目的投标活动；同时，招标人可依法要求其承担违约责任，赔偿因合同拒签导致的项目延期、重新采购等全部直接及间接损失。</w:t>
      </w:r>
    </w:p>
    <w:p w14:paraId="709C1360">
      <w:pPr>
        <w:jc w:val="both"/>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四、其他事项</w:t>
      </w:r>
    </w:p>
    <w:p w14:paraId="29C4DCF7">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1、除招标文件另有规定外，若出现有关法律、法规和规章有强制性规定但招标文件未列明的情形，则投标人应按照有关法律、法规和规章强制性规定执行。</w:t>
      </w:r>
    </w:p>
    <w:p w14:paraId="58EDC06D">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2、其他：</w:t>
      </w:r>
    </w:p>
    <w:p w14:paraId="6C113F8A">
      <w:pPr>
        <w:ind w:firstLine="480"/>
        <w:jc w:val="both"/>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w:t>
      </w:r>
    </w:p>
    <w:p w14:paraId="1EE4A9D7">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page"/>
      </w:r>
    </w:p>
    <w:p w14:paraId="4A6B52A2">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第六章 政府采购合同</w:t>
      </w:r>
    </w:p>
    <w:p w14:paraId="162F9B3E">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参考文本</w:t>
      </w:r>
    </w:p>
    <w:p w14:paraId="4A094C7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合同编号：</w:t>
      </w:r>
    </w:p>
    <w:p w14:paraId="104407A2">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 xml:space="preserve"> 福建省政府采购合同（服务类）</w:t>
      </w:r>
    </w:p>
    <w:p w14:paraId="5E62AE44">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编制说明</w:t>
      </w:r>
      <w:r>
        <w:rPr>
          <w:rFonts w:hint="eastAsia" w:ascii="Calibri" w:hAnsi="Calibri" w:eastAsia="宋体" w:cs="Times New Roman"/>
          <w:highlight w:val="none"/>
          <w:lang w:val="en-US" w:eastAsia="zh-Hans"/>
        </w:rPr>
        <w:br w:type="textWrapping"/>
      </w:r>
    </w:p>
    <w:p w14:paraId="7D868531">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1.签订合同应遵守《中华人民共和国政府采购法》及其实施条例、《中华人民共和国民法典》等法律法规及其他有关规定。</w:t>
      </w:r>
    </w:p>
    <w:p w14:paraId="03CEE19E">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2.签订合同时，采购人与中标</w:t>
      </w:r>
      <w:r>
        <w:rPr>
          <w:rFonts w:hint="eastAsia" w:ascii="仿宋_GB2312" w:hAnsi="仿宋_GB2312" w:eastAsia="仿宋_GB2312" w:cs="仿宋_GB2312"/>
          <w:b/>
          <w:sz w:val="24"/>
          <w:highlight w:val="none"/>
          <w:lang w:val="en-US" w:eastAsia="zh-CN"/>
        </w:rPr>
        <w:t>（</w:t>
      </w:r>
      <w:r>
        <w:rPr>
          <w:rFonts w:hint="eastAsia" w:ascii="仿宋_GB2312" w:hAnsi="仿宋_GB2312" w:eastAsia="仿宋_GB2312" w:cs="仿宋_GB2312"/>
          <w:b/>
          <w:sz w:val="24"/>
          <w:highlight w:val="none"/>
          <w:lang w:val="en-US" w:eastAsia="zh-Hans"/>
        </w:rPr>
        <w:t>成交</w:t>
      </w:r>
      <w:r>
        <w:rPr>
          <w:rFonts w:hint="eastAsia" w:ascii="仿宋_GB2312" w:hAnsi="仿宋_GB2312" w:eastAsia="仿宋_GB2312" w:cs="仿宋_GB2312"/>
          <w:b/>
          <w:sz w:val="24"/>
          <w:highlight w:val="none"/>
          <w:lang w:val="en-US" w:eastAsia="zh-CN"/>
        </w:rPr>
        <w:t>）</w:t>
      </w:r>
      <w:r>
        <w:rPr>
          <w:rFonts w:hint="eastAsia" w:ascii="仿宋_GB2312" w:hAnsi="仿宋_GB2312" w:eastAsia="仿宋_GB2312" w:cs="仿宋_GB2312"/>
          <w:b/>
          <w:sz w:val="24"/>
          <w:highlight w:val="none"/>
          <w:lang w:val="en-US" w:eastAsia="zh-Hans"/>
        </w:rPr>
        <w:t>人应结合采购文件规定填列相应内容。采购文件已有约定的，双方均不得对约定进行变更或调整；采购文件未作规定的，双方可通过友好协商进行约定。</w:t>
      </w:r>
    </w:p>
    <w:p w14:paraId="0E8158BF">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3.政府有关主管部门对若干合同有规范文本的，可使用相应合同文本。</w:t>
      </w:r>
    </w:p>
    <w:p w14:paraId="359C9DA5">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4.本合同范本仅供参考，采购人应当根据采购项目的实际需求对合同条款进行修改、补充。</w:t>
      </w:r>
    </w:p>
    <w:p w14:paraId="49E99CBF">
      <w:pPr>
        <w:ind w:left="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甲方：</w:t>
      </w:r>
    </w:p>
    <w:p w14:paraId="697E2D8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住所地：________________</w:t>
      </w:r>
    </w:p>
    <w:p w14:paraId="352AACB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联系人：________________</w:t>
      </w:r>
    </w:p>
    <w:p w14:paraId="51249F2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联系电话：______________</w:t>
      </w:r>
    </w:p>
    <w:p w14:paraId="7C76690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传真：________________</w:t>
      </w:r>
    </w:p>
    <w:p w14:paraId="269EFEF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电子邮箱：________________</w:t>
      </w:r>
      <w:r>
        <w:rPr>
          <w:rFonts w:hint="eastAsia" w:ascii="Calibri" w:hAnsi="Calibri" w:eastAsia="宋体" w:cs="Times New Roman"/>
          <w:highlight w:val="none"/>
          <w:lang w:val="en-US" w:eastAsia="zh-Hans"/>
        </w:rPr>
        <w:br w:type="textWrapping"/>
      </w:r>
    </w:p>
    <w:p w14:paraId="1A0D2725">
      <w:pPr>
        <w:ind w:left="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乙方： ________________</w:t>
      </w:r>
    </w:p>
    <w:p w14:paraId="0178ACD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住所地： ________________</w:t>
      </w:r>
    </w:p>
    <w:p w14:paraId="6708A1E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联系人：______________</w:t>
      </w:r>
    </w:p>
    <w:p w14:paraId="0E07635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联系电话：______________</w:t>
      </w:r>
    </w:p>
    <w:p w14:paraId="0ABB23D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传真：________________</w:t>
      </w:r>
    </w:p>
    <w:p w14:paraId="35A7BF2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电子邮箱：________________</w:t>
      </w:r>
    </w:p>
    <w:p w14:paraId="74950C6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根据项目编号为___________ 的 __________项目（以下简称：“本项目”）的采购结果，遵循平等、自愿、公平和诚实信用的原则，双方签署本合同，具体内容如下：</w:t>
      </w:r>
    </w:p>
    <w:p w14:paraId="6AAB8B1D">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一、合同组成部分</w:t>
      </w:r>
    </w:p>
    <w:p w14:paraId="5421654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1.1本合同条款及附件；</w:t>
      </w:r>
    </w:p>
    <w:p w14:paraId="0C989ED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1.2采购文件及其附件、补充文件；</w:t>
      </w:r>
    </w:p>
    <w:p w14:paraId="02A9840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1.3乙方的响应文件及其附件、补充文件；</w:t>
      </w:r>
    </w:p>
    <w:p w14:paraId="1A1EE2B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1.4其他文件或材料：</w:t>
      </w:r>
    </w:p>
    <w:p w14:paraId="252B7829">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二、合同标的</w:t>
      </w:r>
      <w:r>
        <w:rPr>
          <w:rFonts w:hint="eastAsia" w:ascii="Calibri" w:hAnsi="Calibri" w:eastAsia="宋体" w:cs="Times New Roman"/>
          <w:highlight w:val="none"/>
          <w:lang w:val="en-US" w:eastAsia="zh-Hans"/>
        </w:rPr>
        <w:br w:type="textWrapping"/>
      </w:r>
    </w:p>
    <w:p w14:paraId="29AD0B90">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三、价格形式及合同价款</w:t>
      </w:r>
    </w:p>
    <w:p w14:paraId="08E706C2">
      <w:pPr>
        <w:jc w:val="left"/>
        <w:outlineLvl w:val="4"/>
        <w:rPr>
          <w:rFonts w:hint="eastAsia" w:ascii="Calibri" w:hAnsi="Calibri" w:eastAsia="宋体" w:cs="Times New Roman"/>
          <w:highlight w:val="none"/>
          <w:lang w:val="en-US" w:eastAsia="zh-Hans"/>
        </w:rPr>
      </w:pPr>
      <w:r>
        <w:rPr>
          <w:rFonts w:hint="eastAsia" w:ascii="仿宋_GB2312" w:hAnsi="仿宋_GB2312" w:eastAsia="仿宋_GB2312" w:cs="仿宋_GB2312"/>
          <w:b/>
          <w:sz w:val="20"/>
          <w:highlight w:val="none"/>
          <w:lang w:val="en-US" w:eastAsia="zh-Hans"/>
        </w:rPr>
        <w:t xml:space="preserve"> 3.1价格形式</w:t>
      </w:r>
    </w:p>
    <w:p w14:paraId="1A80AF2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固定单价合同。完成约定服务事项的含税合同单价为：人民币（大写）元（￥ _____________元）。</w:t>
      </w:r>
    </w:p>
    <w:p w14:paraId="0AC57521">
      <w:pPr>
        <w:spacing w:line="300" w:lineRule="auto"/>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固定总价合同。完成约定服务事项的含税服务费用为：人民币（大写）元（￥_____________ 元）。</w:t>
      </w:r>
    </w:p>
    <w:p w14:paraId="194D54D6">
      <w:pPr>
        <w:spacing w:line="300" w:lineRule="auto"/>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其他方式。</w:t>
      </w:r>
    </w:p>
    <w:p w14:paraId="4B988DED">
      <w:pPr>
        <w:spacing w:line="300" w:lineRule="auto"/>
        <w:jc w:val="left"/>
        <w:outlineLvl w:val="4"/>
        <w:rPr>
          <w:rFonts w:hint="eastAsia" w:ascii="Calibri" w:hAnsi="Calibri" w:eastAsia="宋体" w:cs="Times New Roman"/>
          <w:highlight w:val="none"/>
          <w:lang w:val="en-US" w:eastAsia="zh-Hans"/>
        </w:rPr>
      </w:pPr>
      <w:r>
        <w:rPr>
          <w:rFonts w:hint="eastAsia" w:ascii="仿宋_GB2312" w:hAnsi="仿宋_GB2312" w:eastAsia="仿宋_GB2312" w:cs="仿宋_GB2312"/>
          <w:b/>
          <w:sz w:val="20"/>
          <w:highlight w:val="none"/>
          <w:lang w:val="en-US" w:eastAsia="zh-Hans"/>
        </w:rPr>
        <w:t xml:space="preserve"> 3.2合同价款包含范围</w:t>
      </w:r>
    </w:p>
    <w:p w14:paraId="5355A1FB">
      <w:pPr>
        <w:jc w:val="left"/>
        <w:outlineLvl w:val="4"/>
        <w:rPr>
          <w:rFonts w:hint="eastAsia" w:ascii="Calibri" w:hAnsi="Calibri" w:eastAsia="宋体" w:cs="Times New Roman"/>
          <w:highlight w:val="none"/>
          <w:lang w:val="en-US" w:eastAsia="zh-Hans"/>
        </w:rPr>
      </w:pPr>
      <w:r>
        <w:rPr>
          <w:rFonts w:hint="eastAsia" w:ascii="仿宋_GB2312" w:hAnsi="仿宋_GB2312" w:eastAsia="仿宋_GB2312" w:cs="仿宋_GB2312"/>
          <w:b/>
          <w:sz w:val="20"/>
          <w:highlight w:val="none"/>
          <w:lang w:val="en-US" w:eastAsia="zh-Hans"/>
        </w:rPr>
        <w:t xml:space="preserve"> 3.3其他需说明的事项：</w:t>
      </w:r>
    </w:p>
    <w:p w14:paraId="53D38439">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四、合同标的及服务范围、地点和时间</w:t>
      </w:r>
    </w:p>
    <w:p w14:paraId="3BBCB91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4.1项目名称： _____________</w:t>
      </w:r>
    </w:p>
    <w:p w14:paraId="35C34A6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4.2服务范围：_____________</w:t>
      </w:r>
    </w:p>
    <w:p w14:paraId="202EC5B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4.3服务地点：_____________</w:t>
      </w:r>
    </w:p>
    <w:p w14:paraId="66B6944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4.4服务完成时间：_____________</w:t>
      </w:r>
    </w:p>
    <w:p w14:paraId="2A37663B">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五、服务内容、质量标准和要求</w:t>
      </w:r>
    </w:p>
    <w:p w14:paraId="1B4C805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5.1服务工作量的计量方式：_____________</w:t>
      </w:r>
    </w:p>
    <w:p w14:paraId="7889183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5.2服务内容：_____________</w:t>
      </w:r>
    </w:p>
    <w:p w14:paraId="214AB7B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5.3技术保障、服务人员组成、所涉及的货物的质量标准：</w:t>
      </w:r>
    </w:p>
    <w:p w14:paraId="331140D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（1）服务技术保障：_____________</w:t>
      </w:r>
    </w:p>
    <w:p w14:paraId="2B39977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（2）服务人员组成：_____________</w:t>
      </w:r>
    </w:p>
    <w:p w14:paraId="77A96DF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（3）服务设备及物资投入及质量标准：_____________</w:t>
      </w:r>
    </w:p>
    <w:p w14:paraId="35597B4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5.4服务质量标准及要求：</w:t>
      </w:r>
    </w:p>
    <w:p w14:paraId="48346DB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04DB65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42DFC3D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5.4.3其他要求：</w:t>
      </w:r>
    </w:p>
    <w:p w14:paraId="35B417BB">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六、服务履约验收或考核</w:t>
      </w:r>
    </w:p>
    <w:p w14:paraId="2A1000C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444FE626">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七、甲方的权利与义务</w:t>
      </w:r>
    </w:p>
    <w:p w14:paraId="576DA64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7.1甲方委派___________为联系人，联系方式 ___________，负责与乙方联系。如甲方联系人发生变更，甲方应书面告知乙方。</w:t>
      </w:r>
    </w:p>
    <w:p w14:paraId="0D64DB7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7.2甲方应为乙方开展服务工作提供必要的工作条件，以及对内对外沟通和配合协助。</w:t>
      </w:r>
    </w:p>
    <w:p w14:paraId="137174D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7.3甲方应于___________之前提供服务所需的全部资料，并对所提供材料真实性、完整性、合法性负责。</w:t>
      </w:r>
    </w:p>
    <w:p w14:paraId="0DC17FF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4E2442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7.5甲方应按本合同约定及时足额支付服务费用及相关费用。</w:t>
      </w:r>
    </w:p>
    <w:p w14:paraId="58682F9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7.6其他</w:t>
      </w:r>
    </w:p>
    <w:p w14:paraId="110D2941">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八、乙方的权利与义务</w:t>
      </w:r>
    </w:p>
    <w:p w14:paraId="4001168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8.1乙方委派___________为联系人，联系方式 ___________，负责与甲方联系。如乙方联系人发生变更，乙方应书面告知甲方</w:t>
      </w:r>
    </w:p>
    <w:p w14:paraId="1AB214D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8.2乙方应国家法律法规和{{乙方的权利与义务-响应要求-福建}}等要求开展{{乙方的权利与义务-开展服务-福建}}服务；</w:t>
      </w:r>
    </w:p>
    <w:p w14:paraId="46C2310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8.3乙方及其所委派服务人员应按标准或协议约定方式出具服务成果，并对其真实性和合法性负法律责任；</w:t>
      </w:r>
    </w:p>
    <w:p w14:paraId="3CCF4C8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8.4乙方对执行业务过程中知悉的国家秘密或甲方的商业秘密保密。除非国家法律法规及行业规范另有规定,或经甲方同意,乙方不得将其知悉的商业秘密和甲方提供的资料对外泄露。</w:t>
      </w:r>
    </w:p>
    <w:p w14:paraId="454D1D7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8.5乙方对服务业务应当单独建档，保存完整的工作记录，并对服务过程使用和暂存甲方的文件、材料和财物应当妥善保管。</w:t>
      </w:r>
    </w:p>
    <w:p w14:paraId="07CDE49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8.6服务工作结束后,乙方将根据情况对甲方服务相关的管理制度及其他事项等提出改进意见。</w:t>
      </w:r>
    </w:p>
    <w:p w14:paraId="7AF7170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8.7乙方完全遵守《中华人民共和国劳动合同法》有关规定和《中华人民共和国妇女权益保障法》中关于“劳动和社会保障权益”的有关要求。</w:t>
      </w:r>
    </w:p>
    <w:p w14:paraId="1ED4519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8.8其他</w:t>
      </w:r>
    </w:p>
    <w:p w14:paraId="44E451F7">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九、资金支付方式、时间和条件</w:t>
      </w:r>
      <w:r>
        <w:rPr>
          <w:rFonts w:hint="eastAsia" w:ascii="Calibri" w:hAnsi="Calibri" w:eastAsia="宋体" w:cs="Times New Roman"/>
          <w:highlight w:val="none"/>
          <w:lang w:val="en-US" w:eastAsia="zh-Hans"/>
        </w:rPr>
        <w:br w:type="textWrapping"/>
      </w:r>
    </w:p>
    <w:p w14:paraId="29B17DF6">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十、履约保证金</w:t>
      </w:r>
    </w:p>
    <w:p w14:paraId="7DA1635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□有，□无。具体如下：（按照采购文件规定填写）。</w:t>
      </w:r>
    </w:p>
    <w:p w14:paraId="5C3766C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10.1乙方向甲方缴纳人民币 / 元作为本合同的履约保证金。</w:t>
      </w:r>
    </w:p>
    <w:p w14:paraId="3B6E3D6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10.2履约保证金缴纳形式：支票/汇票/电汇/保函等非现金形式。</w:t>
      </w:r>
    </w:p>
    <w:p w14:paraId="19AA530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10.3履约保证金合同履行完毕前有效，合同履行完毕后一次性结清退还。</w:t>
      </w:r>
    </w:p>
    <w:p w14:paraId="1933E195">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十一、合同期限</w:t>
      </w:r>
      <w:r>
        <w:rPr>
          <w:rFonts w:hint="eastAsia" w:ascii="Calibri" w:hAnsi="Calibri" w:eastAsia="宋体" w:cs="Times New Roman"/>
          <w:highlight w:val="none"/>
          <w:lang w:val="en-US" w:eastAsia="zh-Hans"/>
        </w:rPr>
        <w:br w:type="textWrapping"/>
      </w:r>
    </w:p>
    <w:p w14:paraId="74E01393">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十二、保密条款</w:t>
      </w:r>
    </w:p>
    <w:p w14:paraId="4AA4D8C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12.1对于在采购和合同履行过程中所获悉的属于保密的内容，甲、乙双方均负有保密义务。</w:t>
      </w:r>
    </w:p>
    <w:p w14:paraId="158A10D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12.2其他</w:t>
      </w:r>
    </w:p>
    <w:p w14:paraId="73A6F06C">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十三、违约责任</w:t>
      </w:r>
    </w:p>
    <w:p w14:paraId="69E74E5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13.1甲方违约责任</w:t>
      </w:r>
    </w:p>
    <w:p w14:paraId="06C4DC6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（1）甲方无正当理由拒绝乙方提供合格服务的，甲方应向乙方偿付所拒收合同总价________的违约金</w:t>
      </w:r>
    </w:p>
    <w:p w14:paraId="131F3E3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（2）甲方无故逾期验收和办理合同款项支付手续的,甲方应按逾期付款总额每日________向乙方支付违约金。</w:t>
      </w:r>
    </w:p>
    <w:p w14:paraId="178AAAA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（3）其他违约情形</w:t>
      </w:r>
    </w:p>
    <w:p w14:paraId="2AB2E86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13.2乙方违约责任</w:t>
      </w:r>
    </w:p>
    <w:p w14:paraId="6F753BB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（1）乙方逾期履行服务的，乙方应按逾期交付总额每日________向甲方支付违约金，由甲方从待付货款中扣除。乙方无正当理由逾期超过约定日期________仍不能交付的，视为“乙方不按合同约定履约”；</w:t>
      </w:r>
    </w:p>
    <w:p w14:paraId="1446B04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（2）乙方所履行的服务不符合合同规定及《采购文件》规定标准的，甲方有权拒绝，乙方愿意整改但逾期履行的，按乙方逾期履行处理。乙方拒绝整改的，视为“乙方不按合同约定履约”</w:t>
      </w:r>
    </w:p>
    <w:p w14:paraId="4F5C5B2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（3）乙方不按合同约定履约的，甲方可以解除采购合同，并对乙方已缴纳的履约保证金作“不予退还”处理。同时，乙方须按以下约定向甲方支付违约金：</w:t>
      </w:r>
    </w:p>
    <w:p w14:paraId="77023ED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（4）其他违约情形</w:t>
      </w:r>
    </w:p>
    <w:p w14:paraId="7EF78A03">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十四、不可抗力事件处理</w:t>
      </w:r>
    </w:p>
    <w:p w14:paraId="3D63167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78F81BFA">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十五、解决争议的方法</w:t>
      </w:r>
    </w:p>
    <w:p w14:paraId="5427C20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15.1甲、乙双方协商解决。</w:t>
      </w:r>
    </w:p>
    <w:p w14:paraId="12ABFEA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15.2若协商解决不成，双方明确按以下第_种方式解决：</w:t>
      </w:r>
    </w:p>
    <w:p w14:paraId="4457C16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1、提交仲裁委员会仲裁，具体如下：</w:t>
      </w:r>
    </w:p>
    <w:p w14:paraId="482B30A4">
      <w:pPr>
        <w:spacing w:line="300" w:lineRule="auto"/>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2、向______人民法院提起诉讼。</w:t>
      </w:r>
    </w:p>
    <w:p w14:paraId="6A41F8AD">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十六、合同其他条款</w:t>
      </w:r>
      <w:r>
        <w:rPr>
          <w:rFonts w:hint="eastAsia" w:ascii="Calibri" w:hAnsi="Calibri" w:eastAsia="宋体" w:cs="Times New Roman"/>
          <w:highlight w:val="none"/>
          <w:lang w:val="en-US" w:eastAsia="zh-Hans"/>
        </w:rPr>
        <w:br w:type="textWrapping"/>
      </w:r>
    </w:p>
    <w:p w14:paraId="0000E137">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十七、其他约定</w:t>
      </w:r>
    </w:p>
    <w:p w14:paraId="6FE2AB1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17.1合同文件与本合同具有同等法律效力。</w:t>
      </w:r>
    </w:p>
    <w:p w14:paraId="63441EE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118CE30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17.3本合同未尽事宜，遵照《中华人民共和国民法典》有关条文执行。</w:t>
      </w:r>
    </w:p>
    <w:p w14:paraId="737647B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17.4本合同正本一式_______份，具有同等法律效力，甲方、乙方各执_______份；副本_______份，_______</w:t>
      </w:r>
    </w:p>
    <w:p w14:paraId="5E63463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17.5其他</w:t>
      </w:r>
    </w:p>
    <w:p w14:paraId="35440B18">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十八、合同附件</w:t>
      </w:r>
    </w:p>
    <w:p w14:paraId="05D99DD0">
      <w:pPr>
        <w:jc w:val="left"/>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 xml:space="preserve"> 十九、合同融资支付约定</w:t>
      </w:r>
    </w:p>
    <w:p w14:paraId="4A3EB76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b/>
          <w:highlight w:val="none"/>
          <w:lang w:val="en-US" w:eastAsia="zh-Hans"/>
        </w:rPr>
        <w:t>19.1本合同已用于政府采购合同融资，为本项目提供合同融资的金融机构为：_______，本合同项下所有款项，甲方须支付至本合同约定的乙方账号，未经_______书面同意，不得变更账号。</w:t>
      </w:r>
    </w:p>
    <w:p w14:paraId="2460074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中标（成交）供应商应于采购合同签订之日起_______内，向发放政采贷的金融机构提交政府采购中标（成交）通知书和政府采购合同，贷款金额以政府采购合同金额为限。</w:t>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p>
    <w:p w14:paraId="2A7CAC5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甲方（采购人）：</w:t>
      </w:r>
    </w:p>
    <w:p w14:paraId="791937E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法定（授权）代表人：</w:t>
      </w:r>
    </w:p>
    <w:p w14:paraId="572C0F0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纳税人识别号：</w:t>
      </w:r>
    </w:p>
    <w:p w14:paraId="5C29BC1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开户银行：</w:t>
      </w:r>
    </w:p>
    <w:p w14:paraId="509345F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账号：</w:t>
      </w:r>
    </w:p>
    <w:p w14:paraId="2CFD991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乙方（中标或成交人）：</w:t>
      </w:r>
    </w:p>
    <w:p w14:paraId="7DFF97E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法定（授权）代表人：</w:t>
      </w:r>
    </w:p>
    <w:p w14:paraId="1751645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纳税人识别号：</w:t>
      </w:r>
    </w:p>
    <w:p w14:paraId="6B9B257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开户银行：</w:t>
      </w:r>
    </w:p>
    <w:p w14:paraId="71B7EB4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账号：</w:t>
      </w:r>
    </w:p>
    <w:p w14:paraId="3E38814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签订地点：_____________</w:t>
      </w:r>
    </w:p>
    <w:p w14:paraId="32CFCAF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签订日期：____年___月___日</w:t>
      </w:r>
    </w:p>
    <w:p w14:paraId="192CE904">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396AA700">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第七章 电子投标文件格式</w:t>
      </w:r>
    </w:p>
    <w:p w14:paraId="1B06AA04">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编制说明</w:t>
      </w:r>
    </w:p>
    <w:p w14:paraId="5D624A0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1、除招标文件另有规定外，本章中：</w:t>
      </w:r>
    </w:p>
    <w:p w14:paraId="43D5667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1.1涉及投标人的“全称”：</w:t>
      </w:r>
    </w:p>
    <w:p w14:paraId="7F51B37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（1）不接受联合体投标的，指投标人的全称。</w:t>
      </w:r>
    </w:p>
    <w:p w14:paraId="67BA72B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（2）接受联合体投标且投标人为联合体的，指牵头方的全称并加注（联合体牵头方），即应表述为：“牵头方的全称（联合体牵头方）”。</w:t>
      </w:r>
    </w:p>
    <w:p w14:paraId="6FD3632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1.2涉及投标人“加盖单位公章”：</w:t>
      </w:r>
    </w:p>
    <w:p w14:paraId="31D4DC1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（1）不接受联合体投标的，指加盖投标人的单位公章。</w:t>
      </w:r>
    </w:p>
    <w:p w14:paraId="0E0138A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（2）接受联合体投标且投标人为联合体的，指加盖联合体牵头方的单位公章。</w:t>
      </w:r>
    </w:p>
    <w:p w14:paraId="15B6D27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1.3涉及“投标人代表签字”：</w:t>
      </w:r>
    </w:p>
    <w:p w14:paraId="0EC26F2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（1）不接受联合体投标的，指由投标人的单位负责人或其授权的委托代理人签字，由委托代理人签字的，应提供“单位授权书”。</w:t>
      </w:r>
    </w:p>
    <w:p w14:paraId="5601A03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（2）接受联合体投标且投标人为联合体的，指由联合体牵头方的单位负责人或其授权的委托代理人签字，由委托代理人签字的，应提供“单位授权书”。</w:t>
      </w:r>
    </w:p>
    <w:p w14:paraId="1D5215D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1.4“其他组织”指合伙企业、非企业专业服务机构、个体工商户、农村承包经营户等。</w:t>
      </w:r>
    </w:p>
    <w:p w14:paraId="41BB4A0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1.5“自然人”指具有完全民事行为能力、能够承担民事责任和义务的中国公民。</w:t>
      </w:r>
    </w:p>
    <w:p w14:paraId="680C833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2、除招标文件另有规定外，本章中“投标人的资格及资信证明文件”：</w:t>
      </w:r>
    </w:p>
    <w:p w14:paraId="7EA7BB0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2.1投标人应按照招标文件第四章第1.3条第（2）款规定及本章规定进行编制，如有必要，可增加附页，附页作为资格及资信文件的组成部分。</w:t>
      </w:r>
    </w:p>
    <w:p w14:paraId="5994D64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2.2接受联合体投标且投标人为联合体的，联合体中的各方均应按照本章第2.1条规定提交相应的全部资料。</w:t>
      </w:r>
    </w:p>
    <w:p w14:paraId="0FECDAE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3、投标人对电子投标文件的索引应编制页码。</w:t>
      </w:r>
    </w:p>
    <w:p w14:paraId="666CD34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4、本章提供格式仅供参考，投标人应根据自身实际情况制作电子投标文件。</w:t>
      </w:r>
    </w:p>
    <w:p w14:paraId="598184DC">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06BD6CFB">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封面格式</w:t>
      </w:r>
      <w:r>
        <w:rPr>
          <w:rFonts w:hint="eastAsia" w:ascii="仿宋_GB2312" w:hAnsi="仿宋_GB2312" w:eastAsia="仿宋_GB2312" w:cs="仿宋_GB2312"/>
          <w:b/>
          <w:sz w:val="28"/>
          <w:highlight w:val="none"/>
          <w:lang w:val="en-US" w:eastAsia="zh-CN"/>
        </w:rPr>
        <w:t>（</w:t>
      </w:r>
      <w:r>
        <w:rPr>
          <w:rFonts w:hint="eastAsia" w:ascii="仿宋_GB2312" w:hAnsi="仿宋_GB2312" w:eastAsia="仿宋_GB2312" w:cs="仿宋_GB2312"/>
          <w:b/>
          <w:sz w:val="28"/>
          <w:highlight w:val="none"/>
          <w:lang w:val="en-US" w:eastAsia="zh-Hans"/>
        </w:rPr>
        <w:t>资格及资信证明部分</w:t>
      </w:r>
      <w:r>
        <w:rPr>
          <w:rFonts w:hint="eastAsia" w:ascii="仿宋_GB2312" w:hAnsi="仿宋_GB2312" w:eastAsia="仿宋_GB2312" w:cs="仿宋_GB2312"/>
          <w:b/>
          <w:sz w:val="28"/>
          <w:highlight w:val="none"/>
          <w:lang w:val="en-US" w:eastAsia="zh-CN"/>
        </w:rPr>
        <w:t>）</w:t>
      </w:r>
    </w:p>
    <w:p w14:paraId="7F44DEA6">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福建省政府采购投标文件</w:t>
      </w:r>
    </w:p>
    <w:p w14:paraId="5A1A7650">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（资格及资信证明部分）</w:t>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p>
    <w:p w14:paraId="18753C2B">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（填写正本或副本）</w:t>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p>
    <w:p w14:paraId="3222D6DE">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项目名称：（由投标人填写）</w:t>
      </w:r>
    </w:p>
    <w:p w14:paraId="5B8D4281">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备案编号：（由投标人填写）</w:t>
      </w:r>
    </w:p>
    <w:p w14:paraId="3A2C85E5">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项目编号：（由投标人填写）</w:t>
      </w:r>
    </w:p>
    <w:p w14:paraId="2A93E8E3">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所投采购包：（由投标人填写）</w:t>
      </w:r>
    </w:p>
    <w:p w14:paraId="5C660853">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投标人：（填写“全称”）</w:t>
      </w:r>
    </w:p>
    <w:p w14:paraId="1E1EDB42">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（由投标人填写）年（由投标人填写）月</w:t>
      </w:r>
    </w:p>
    <w:p w14:paraId="7F67163F">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425D68A2">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索引</w:t>
      </w:r>
    </w:p>
    <w:p w14:paraId="2FA4ADD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一、投标函</w:t>
      </w:r>
    </w:p>
    <w:p w14:paraId="195B7A7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二、投标人的资格及资信证明文件</w:t>
      </w:r>
    </w:p>
    <w:p w14:paraId="198A0CA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三、投标保证金</w:t>
      </w:r>
    </w:p>
    <w:p w14:paraId="3BC80AD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67F043C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资格及资信证明部分中不得出现报价部分的全部或部分的投标报价信息（或组成资料），否则资格审查不合格。（联合体协议及分包意向协议中的比例规定，不适用本条款）</w:t>
      </w:r>
    </w:p>
    <w:p w14:paraId="2CA2D5EF">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0B053B54">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一、投标函</w:t>
      </w:r>
    </w:p>
    <w:p w14:paraId="5C4CF0F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049E1D6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兹收到贵单位关于</w:t>
      </w:r>
      <w:r>
        <w:rPr>
          <w:rFonts w:hint="eastAsia" w:ascii="仿宋_GB2312" w:hAnsi="仿宋_GB2312" w:eastAsia="仿宋_GB2312" w:cs="仿宋_GB2312"/>
          <w:highlight w:val="none"/>
          <w:u w:val="single"/>
          <w:lang w:val="en-US" w:eastAsia="zh-Hans"/>
        </w:rPr>
        <w:t xml:space="preserve">（填写“项目名称”） </w:t>
      </w:r>
      <w:r>
        <w:rPr>
          <w:rFonts w:hint="eastAsia" w:ascii="仿宋_GB2312" w:hAnsi="仿宋_GB2312" w:eastAsia="仿宋_GB2312" w:cs="仿宋_GB2312"/>
          <w:highlight w:val="none"/>
          <w:lang w:val="en-US" w:eastAsia="zh-Hans"/>
        </w:rPr>
        <w:t>项目</w:t>
      </w:r>
      <w:r>
        <w:rPr>
          <w:rFonts w:hint="eastAsia" w:ascii="仿宋_GB2312" w:hAnsi="仿宋_GB2312" w:eastAsia="仿宋_GB2312" w:cs="仿宋_GB2312"/>
          <w:highlight w:val="none"/>
          <w:u w:val="single"/>
          <w:lang w:val="en-US" w:eastAsia="zh-Hans"/>
        </w:rPr>
        <w:t xml:space="preserve">（项目编号：　　　　　） </w:t>
      </w:r>
      <w:r>
        <w:rPr>
          <w:rFonts w:hint="eastAsia" w:ascii="仿宋_GB2312" w:hAnsi="仿宋_GB2312" w:eastAsia="仿宋_GB2312" w:cs="仿宋_GB2312"/>
          <w:highlight w:val="none"/>
          <w:lang w:val="en-US" w:eastAsia="zh-Hans"/>
        </w:rPr>
        <w:t>的投标邀请，本投标人代表</w:t>
      </w:r>
      <w:r>
        <w:rPr>
          <w:rFonts w:hint="eastAsia" w:ascii="仿宋_GB2312" w:hAnsi="仿宋_GB2312" w:eastAsia="仿宋_GB2312" w:cs="仿宋_GB2312"/>
          <w:highlight w:val="none"/>
          <w:u w:val="single"/>
          <w:lang w:val="en-US" w:eastAsia="zh-Hans"/>
        </w:rPr>
        <w:t xml:space="preserve">（填写“全名”） </w:t>
      </w:r>
      <w:r>
        <w:rPr>
          <w:rFonts w:hint="eastAsia" w:ascii="仿宋_GB2312" w:hAnsi="仿宋_GB2312" w:eastAsia="仿宋_GB2312" w:cs="仿宋_GB2312"/>
          <w:highlight w:val="none"/>
          <w:lang w:val="en-US" w:eastAsia="zh-Hans"/>
        </w:rPr>
        <w:t>已获得我方正式授权并代表投标人（填写“全称”）参加投标，并提交电子投标文件。我方提交的全部电子投标文件由下述部分组成：</w:t>
      </w:r>
    </w:p>
    <w:p w14:paraId="5221866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（1）资格及资信证明部分</w:t>
      </w:r>
    </w:p>
    <w:p w14:paraId="230FF86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①投标函</w:t>
      </w:r>
    </w:p>
    <w:p w14:paraId="5F70528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②投标人的资格及资信证明文件</w:t>
      </w:r>
    </w:p>
    <w:p w14:paraId="1A2BB31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③投标保证金</w:t>
      </w:r>
    </w:p>
    <w:p w14:paraId="1BB7864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（2）报价部分</w:t>
      </w:r>
    </w:p>
    <w:p w14:paraId="089CB46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①开标一览表</w:t>
      </w:r>
    </w:p>
    <w:p w14:paraId="3431091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②投标分项报价表</w:t>
      </w:r>
    </w:p>
    <w:p w14:paraId="24E2679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③招标文件规定的价格扣除证明材料（若有）</w:t>
      </w:r>
    </w:p>
    <w:p w14:paraId="2B865B9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④招标文件规定的加分证明材料（若有）</w:t>
      </w:r>
    </w:p>
    <w:p w14:paraId="7C445E5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（3）技术商务部分</w:t>
      </w:r>
    </w:p>
    <w:p w14:paraId="1ABE5F6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①标的说明一览表</w:t>
      </w:r>
    </w:p>
    <w:p w14:paraId="6625D61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②技术和服务要求响应表</w:t>
      </w:r>
    </w:p>
    <w:p w14:paraId="527B192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③商务条件响应表</w:t>
      </w:r>
    </w:p>
    <w:p w14:paraId="1224F91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④投标人提交的其他资料（若有）</w:t>
      </w:r>
    </w:p>
    <w:p w14:paraId="4B96D2F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根据本函，本投标人代表宣布我方保证遵守招标文件的全部规定，同时：</w:t>
      </w:r>
    </w:p>
    <w:p w14:paraId="511BB08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1、确认：</w:t>
      </w:r>
    </w:p>
    <w:p w14:paraId="1C12E80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1.1所投采购包的投标报价详见“开标一览表”及“投标分项报价表”。</w:t>
      </w:r>
    </w:p>
    <w:p w14:paraId="444CCCB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1.2我方已详细审查全部招标文件[包括但不限于：有关附件（若有）、澄清或修改（若有）等]，并自行承担因对全部招标文件理解不正确或误解而产生的相应后果和责任。</w:t>
      </w:r>
    </w:p>
    <w:p w14:paraId="7230CBF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2、承诺及声明：</w:t>
      </w:r>
    </w:p>
    <w:p w14:paraId="3AA1570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2.1我方具备招标文件第一章载明的“投标人的资格要求”且符合招标文件第三章载明的“二、投标人”之规定，否则投标无效。</w:t>
      </w:r>
    </w:p>
    <w:p w14:paraId="57F5EE9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2.2我方提交的电子投标文件各组成部分的全部内容及资料是不可割离且真实、有效、准确、完整和不具有任何误导性的，否则产生不利后果由我方承担责任。</w:t>
      </w:r>
    </w:p>
    <w:p w14:paraId="3E1C0B9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2.3我方提供的标的价格不高于同期市场价格，否则产生不利后果由我方承担责任。</w:t>
      </w:r>
    </w:p>
    <w:p w14:paraId="7A68131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2.4投标保证金：若出现招标文件第三章规定的不予退还情形，同意贵单位不予退还。</w:t>
      </w:r>
    </w:p>
    <w:p w14:paraId="4C67132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2.5投标有效期：按照招标文件第三章规定执行，并在招标文件第二章载明的期限内保持有效。</w:t>
      </w:r>
    </w:p>
    <w:p w14:paraId="4254CE1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2.6若中标，将按照招标文件、我方电子投标文件及政府采购合同履行责任和义务。</w:t>
      </w:r>
    </w:p>
    <w:p w14:paraId="39299F4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2.7若贵单位要求，我方同意提供与本项目投标有关的一切资料、数据或文件，并完全理解贵单位不一定要接受最低的投标报价或收到的任何投标。</w:t>
      </w:r>
    </w:p>
    <w:p w14:paraId="33D2BAC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2.8 我方承诺遵守《中华人民共和国劳动合同法》有关规定和《中华人民共和国妇女权益保障法 》中关于“劳动和社会保障权益”的有关要求。</w:t>
      </w:r>
    </w:p>
    <w:p w14:paraId="75E3296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2.9我方承诺电子投标文件所提供的全部资料真实可靠，并接受评标委员会、采购人、采购代理机构、监管部门进一步审查其中任何资料真实性的要求。</w:t>
      </w:r>
    </w:p>
    <w:p w14:paraId="780B0EB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2.10除招标文件另有规定外，对于贵单位按照下述联络方式发出的任何信息或通知，均视为我方已收悉前述信息或通知的全部内容：</w:t>
      </w:r>
    </w:p>
    <w:p w14:paraId="097F3BA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通信地址：                                        </w:t>
      </w:r>
    </w:p>
    <w:p w14:paraId="50D295D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邮编：                                           </w:t>
      </w:r>
    </w:p>
    <w:p w14:paraId="79E8E5C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联系方法：（包括但不限于：联系人、联系电话、手机、传真、电子邮箱等）</w:t>
      </w:r>
    </w:p>
    <w:p w14:paraId="2BD061B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投标人：（全称并加盖单位公章）</w:t>
      </w:r>
    </w:p>
    <w:p w14:paraId="4B2F3D0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    年   月   日</w:t>
      </w:r>
    </w:p>
    <w:p w14:paraId="6406CC9E">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7E5412F5">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二、投标人的资格及资信证明文件</w:t>
      </w:r>
    </w:p>
    <w:p w14:paraId="4800F67F">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二-1单位授权书（若有）</w:t>
      </w:r>
    </w:p>
    <w:p w14:paraId="18B51D3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55071E6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我方的单位负责人</w:t>
      </w:r>
      <w:r>
        <w:rPr>
          <w:rFonts w:hint="eastAsia" w:ascii="仿宋_GB2312" w:hAnsi="仿宋_GB2312" w:eastAsia="仿宋_GB2312" w:cs="仿宋_GB2312"/>
          <w:highlight w:val="none"/>
          <w:u w:val="single"/>
          <w:lang w:val="en-US" w:eastAsia="zh-Hans"/>
        </w:rPr>
        <w:t>（填写“单位负责人全名”）</w:t>
      </w:r>
      <w:r>
        <w:rPr>
          <w:rFonts w:hint="eastAsia" w:ascii="仿宋_GB2312" w:hAnsi="仿宋_GB2312" w:eastAsia="仿宋_GB2312" w:cs="仿宋_GB2312"/>
          <w:highlight w:val="none"/>
          <w:lang w:val="en-US" w:eastAsia="zh-Hans"/>
        </w:rPr>
        <w:t>授权</w:t>
      </w:r>
      <w:r>
        <w:rPr>
          <w:rFonts w:hint="eastAsia" w:ascii="仿宋_GB2312" w:hAnsi="仿宋_GB2312" w:eastAsia="仿宋_GB2312" w:cs="仿宋_GB2312"/>
          <w:highlight w:val="none"/>
          <w:u w:val="single"/>
          <w:lang w:val="en-US" w:eastAsia="zh-Hans"/>
        </w:rPr>
        <w:t>（填写“投标人代表全名”）</w:t>
      </w:r>
      <w:r>
        <w:rPr>
          <w:rFonts w:hint="eastAsia" w:ascii="仿宋_GB2312" w:hAnsi="仿宋_GB2312" w:eastAsia="仿宋_GB2312" w:cs="仿宋_GB2312"/>
          <w:highlight w:val="none"/>
          <w:lang w:val="en-US" w:eastAsia="zh-Hans"/>
        </w:rPr>
        <w:t>为投标人代表，代表我方参加</w:t>
      </w:r>
      <w:r>
        <w:rPr>
          <w:rFonts w:hint="eastAsia" w:ascii="仿宋_GB2312" w:hAnsi="仿宋_GB2312" w:eastAsia="仿宋_GB2312" w:cs="仿宋_GB2312"/>
          <w:highlight w:val="none"/>
          <w:u w:val="single"/>
          <w:lang w:val="en-US" w:eastAsia="zh-Hans"/>
        </w:rPr>
        <w:t>（填写“项目名称”）</w:t>
      </w:r>
      <w:r>
        <w:rPr>
          <w:rFonts w:hint="eastAsia" w:ascii="仿宋_GB2312" w:hAnsi="仿宋_GB2312" w:eastAsia="仿宋_GB2312" w:cs="仿宋_GB2312"/>
          <w:highlight w:val="none"/>
          <w:lang w:val="en-US" w:eastAsia="zh-Hans"/>
        </w:rPr>
        <w:t>项目（项目编号：</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99172B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投标人代表无转委权。特此授权。</w:t>
      </w:r>
    </w:p>
    <w:p w14:paraId="11865E9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（以下无正文）</w:t>
      </w:r>
    </w:p>
    <w:p w14:paraId="2A11335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单位负责人：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身份证号：</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手机：</w:t>
      </w:r>
      <w:r>
        <w:rPr>
          <w:rFonts w:hint="eastAsia" w:ascii="仿宋_GB2312" w:hAnsi="仿宋_GB2312" w:eastAsia="仿宋_GB2312" w:cs="仿宋_GB2312"/>
          <w:highlight w:val="none"/>
          <w:u w:val="single"/>
          <w:lang w:val="en-US" w:eastAsia="zh-Hans"/>
        </w:rPr>
        <w:t>　　　　　</w:t>
      </w:r>
    </w:p>
    <w:p w14:paraId="32C6CDF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投标人代表：</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身份证号：</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手机：</w:t>
      </w:r>
      <w:r>
        <w:rPr>
          <w:rFonts w:hint="eastAsia" w:ascii="仿宋_GB2312" w:hAnsi="仿宋_GB2312" w:eastAsia="仿宋_GB2312" w:cs="仿宋_GB2312"/>
          <w:highlight w:val="none"/>
          <w:u w:val="single"/>
          <w:lang w:val="en-US" w:eastAsia="zh-Hans"/>
        </w:rPr>
        <w:t>　　　　　</w:t>
      </w:r>
    </w:p>
    <w:p w14:paraId="62F9110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授权方</w:t>
      </w:r>
    </w:p>
    <w:p w14:paraId="47B125E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08C1B4A4">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签署日期： 年 月 日</w:t>
      </w:r>
    </w:p>
    <w:p w14:paraId="3E91C4B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附：单位负责人、投标人代表的身份证正反面复印件</w:t>
      </w:r>
    </w:p>
    <w:p w14:paraId="3C0EE9CD">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要求：真实有效且内容完整、清晰、整洁。</w:t>
      </w:r>
    </w:p>
    <w:p w14:paraId="0F8CFAC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4DEB840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1、企业（银行、保险、石油石化、电力、电信等行业除外）、事业单位和社会团体法人的“单位负责人”指法定代表人，即与实际提交的“营业执照等证明文件”载明的一致。</w:t>
      </w:r>
    </w:p>
    <w:p w14:paraId="45D870B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1F5E58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3、投标人（自然人除外）：若投标人代表为单位授权的委托代理人，应提供本授权书；若投标人代表为单位负责人，应在此项下提交其身份证正反面复印件，可不提供本授权书。</w:t>
      </w:r>
    </w:p>
    <w:p w14:paraId="3CEF549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4、投标人为自然人的，可不填写本授权书。</w:t>
      </w:r>
    </w:p>
    <w:p w14:paraId="6E69672F">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2426E4E6">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二-2 证明材料</w:t>
      </w:r>
    </w:p>
    <w:p w14:paraId="5D18A06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88AC5BC">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二-2-1 福建省政府采购供应商资格承诺函</w:t>
      </w:r>
    </w:p>
    <w:p w14:paraId="4C9E969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73721F44">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单位名称</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自然人姓名</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w:t>
      </w:r>
    </w:p>
    <w:p w14:paraId="123B09A7">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统一社会信用代码</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自然人身份证号码</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w:t>
      </w:r>
    </w:p>
    <w:p w14:paraId="38197FDF">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法定代表人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负责人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w:t>
      </w:r>
    </w:p>
    <w:p w14:paraId="3B0F937B">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联系地址和电话:</w:t>
      </w:r>
    </w:p>
    <w:p w14:paraId="0002C84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我单位</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本人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自愿参加本次政府采购活动，严格遵守《中华人民共和国政府采购法》及相关法律法规，坚守公开、公平公正和诚实信用等原则，依法诚信经营，并郑重承诺:</w:t>
      </w:r>
    </w:p>
    <w:p w14:paraId="0495187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一、我单位</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本人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具备采购文件要求以及《中华人民共和国政府采购法》第二十二条规定的条件:</w:t>
      </w:r>
    </w:p>
    <w:p w14:paraId="589490EC">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1.具有独立承担民事责任的能力;</w:t>
      </w:r>
    </w:p>
    <w:p w14:paraId="73A03700">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2.具有良好的商业信誉和健全的财务会计制度;</w:t>
      </w:r>
    </w:p>
    <w:p w14:paraId="4AE1BEF1">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3.具有履行合同所必需的设备和专业技术能力;</w:t>
      </w:r>
    </w:p>
    <w:p w14:paraId="350D1BC0">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4.有依法缴纳税收和社会保障资金的良好记录;</w:t>
      </w:r>
    </w:p>
    <w:p w14:paraId="7E12BCDE">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5.参加政府采购活动前三年内，在经营活动中没有重大违法记录；</w:t>
      </w:r>
    </w:p>
    <w:p w14:paraId="34547E71">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6.法律、行政法规规定的其他条件。</w:t>
      </w:r>
    </w:p>
    <w:p w14:paraId="4E24A7F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46CBA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我单位</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本人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对本承诺函及所承诺事项的真实性、合法性及有效性负责，并已知晓如提供资格承诺函不实，可能涉嫌《中华人民共和国政府采购法》第七十七条第一款第</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一</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DA22C66">
      <w:pPr>
        <w:ind w:firstLine="480"/>
        <w:jc w:val="righ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供应商：</w:t>
      </w:r>
      <w:r>
        <w:rPr>
          <w:rFonts w:hint="eastAsia" w:ascii="仿宋_GB2312" w:hAnsi="仿宋_GB2312" w:eastAsia="仿宋_GB2312" w:cs="仿宋_GB2312"/>
          <w:highlight w:val="none"/>
          <w:u w:val="single"/>
          <w:lang w:val="en-US" w:eastAsia="zh-Hans"/>
        </w:rPr>
        <w:t>名称</w:t>
      </w:r>
      <w:r>
        <w:rPr>
          <w:rFonts w:hint="eastAsia" w:ascii="仿宋_GB2312" w:hAnsi="仿宋_GB2312" w:eastAsia="仿宋_GB2312" w:cs="仿宋_GB2312"/>
          <w:highlight w:val="none"/>
          <w:u w:val="single"/>
          <w:lang w:val="en-US" w:eastAsia="zh-CN"/>
        </w:rPr>
        <w:t>（</w:t>
      </w:r>
      <w:r>
        <w:rPr>
          <w:rFonts w:hint="eastAsia" w:ascii="仿宋_GB2312" w:hAnsi="仿宋_GB2312" w:eastAsia="仿宋_GB2312" w:cs="仿宋_GB2312"/>
          <w:highlight w:val="none"/>
          <w:u w:val="single"/>
          <w:lang w:val="en-US" w:eastAsia="zh-Hans"/>
        </w:rPr>
        <w:t>单位公章</w:t>
      </w:r>
      <w:r>
        <w:rPr>
          <w:rFonts w:hint="eastAsia" w:ascii="仿宋_GB2312" w:hAnsi="仿宋_GB2312" w:eastAsia="仿宋_GB2312" w:cs="仿宋_GB2312"/>
          <w:highlight w:val="none"/>
          <w:u w:val="single"/>
          <w:lang w:val="en-US" w:eastAsia="zh-CN"/>
        </w:rPr>
        <w:t>）</w:t>
      </w:r>
    </w:p>
    <w:p w14:paraId="57EFF321">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530FA66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w:t>
      </w:r>
    </w:p>
    <w:p w14:paraId="482CE514">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1.我单位</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本人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专指参加政府采购活动的供应商</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含自然人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w:t>
      </w:r>
    </w:p>
    <w:p w14:paraId="01736151">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2.资格承诺的供应商应在投标</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响应</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文件中按此模板提供承诺函，否则，视为未按照招标文件规定提交投标人的资格及资信文件，按资格审查不通过处理。</w:t>
      </w:r>
    </w:p>
    <w:p w14:paraId="5DC19004">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01F19B40">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二-2-2 资格证明材料</w:t>
      </w:r>
    </w:p>
    <w:p w14:paraId="5528EB48">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营业执照等证明文件</w:t>
      </w:r>
    </w:p>
    <w:p w14:paraId="11A49C0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3AD7262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）投标人为法人（包括企业、事业单位和社会团体）的</w:t>
      </w:r>
    </w:p>
    <w:p w14:paraId="55AA37D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现附上由</w:t>
      </w:r>
      <w:r>
        <w:rPr>
          <w:rFonts w:hint="eastAsia" w:ascii="仿宋_GB2312" w:hAnsi="仿宋_GB2312" w:eastAsia="仿宋_GB2312" w:cs="仿宋_GB2312"/>
          <w:highlight w:val="none"/>
          <w:u w:val="single"/>
          <w:lang w:val="en-US" w:eastAsia="zh-Hans"/>
        </w:rPr>
        <w:t>（（填写“签发机关全称”）</w:t>
      </w:r>
      <w:r>
        <w:rPr>
          <w:rFonts w:hint="eastAsia" w:ascii="仿宋_GB2312" w:hAnsi="仿宋_GB2312" w:eastAsia="仿宋_GB2312" w:cs="仿宋_GB2312"/>
          <w:highlight w:val="none"/>
          <w:lang w:val="en-US" w:eastAsia="zh-Hans"/>
        </w:rPr>
        <w:t>签发的我方统一社会信用代码（请填写法人的具体证照名称）复印件，该证明材料真实有效，否则我方负全部责任。</w:t>
      </w:r>
    </w:p>
    <w:p w14:paraId="1454429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）投标人为非法人（包括其他组织、自然人）的</w:t>
      </w:r>
    </w:p>
    <w:p w14:paraId="191DC0F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□现附上由</w:t>
      </w:r>
      <w:r>
        <w:rPr>
          <w:rFonts w:hint="eastAsia" w:ascii="仿宋_GB2312" w:hAnsi="仿宋_GB2312" w:eastAsia="仿宋_GB2312" w:cs="仿宋_GB2312"/>
          <w:highlight w:val="none"/>
          <w:u w:val="single"/>
          <w:lang w:val="en-US" w:eastAsia="zh-Hans"/>
        </w:rPr>
        <w:t>（（填写“签发机关全称”）</w:t>
      </w:r>
      <w:r>
        <w:rPr>
          <w:rFonts w:hint="eastAsia" w:ascii="仿宋_GB2312" w:hAnsi="仿宋_GB2312" w:eastAsia="仿宋_GB2312" w:cs="仿宋_GB2312"/>
          <w:highlight w:val="none"/>
          <w:lang w:val="en-US" w:eastAsia="zh-Hans"/>
        </w:rPr>
        <w:t>签发的我方（请填写非自然人的非法人的具体证照名称）复印件，该证明材料真实有效，否则我方负全部责任。</w:t>
      </w:r>
    </w:p>
    <w:p w14:paraId="78C6895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□现附上由</w:t>
      </w:r>
      <w:r>
        <w:rPr>
          <w:rFonts w:hint="eastAsia" w:ascii="仿宋_GB2312" w:hAnsi="仿宋_GB2312" w:eastAsia="仿宋_GB2312" w:cs="仿宋_GB2312"/>
          <w:highlight w:val="none"/>
          <w:u w:val="single"/>
          <w:lang w:val="en-US" w:eastAsia="zh-Hans"/>
        </w:rPr>
        <w:t>（（填写“签发机关全称”）</w:t>
      </w:r>
      <w:r>
        <w:rPr>
          <w:rFonts w:hint="eastAsia" w:ascii="仿宋_GB2312" w:hAnsi="仿宋_GB2312" w:eastAsia="仿宋_GB2312" w:cs="仿宋_GB2312"/>
          <w:highlight w:val="none"/>
          <w:lang w:val="en-US" w:eastAsia="zh-Hans"/>
        </w:rPr>
        <w:t>签发的我方（请填写自然人的身份证件名称）复印件，该证明材料真实有效，否则我方负全部责任。</w:t>
      </w:r>
    </w:p>
    <w:p w14:paraId="109F237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497DFBA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1、请投标人按照实际情况编制填写，在相应的（）中打“√”并选择相应的“□”（若有）后，再按照本格式的要求提供相应证明材料的复印件。</w:t>
      </w:r>
    </w:p>
    <w:p w14:paraId="0B932A5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970A56A">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56E3746B">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3D82395C">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3BBB3084">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财务状况报告（财务报告、或资信证明）</w:t>
      </w:r>
    </w:p>
    <w:p w14:paraId="6CD9BA6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51E7731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）投标人提供财务报告的</w:t>
      </w:r>
    </w:p>
    <w:p w14:paraId="18DE08F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□企业适用：现附上我方</w:t>
      </w:r>
      <w:r>
        <w:rPr>
          <w:rFonts w:hint="eastAsia" w:ascii="仿宋_GB2312" w:hAnsi="仿宋_GB2312" w:eastAsia="仿宋_GB2312" w:cs="仿宋_GB2312"/>
          <w:highlight w:val="none"/>
          <w:u w:val="single"/>
          <w:lang w:val="en-US" w:eastAsia="zh-Hans"/>
        </w:rPr>
        <w:t>（填写“具体的年度、或半年度、季度”）</w:t>
      </w:r>
      <w:r>
        <w:rPr>
          <w:rFonts w:hint="eastAsia" w:ascii="仿宋_GB2312" w:hAnsi="仿宋_GB2312" w:eastAsia="仿宋_GB2312" w:cs="仿宋_GB2312"/>
          <w:highlight w:val="none"/>
          <w:lang w:val="en-US" w:eastAsia="zh-Hans"/>
        </w:rPr>
        <w:t>财务报告复印件，包括资产负债表、利润表、现金流量表、所有者权益变动表（若有）及其附注（若有）、会计师事务所营业执照和注册会计师资格证书，上述证明材料真实有效，否则我方负全部责任。</w:t>
      </w:r>
    </w:p>
    <w:p w14:paraId="36D2138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□事业单位适用：现附上我方</w:t>
      </w:r>
      <w:r>
        <w:rPr>
          <w:rFonts w:hint="eastAsia" w:ascii="仿宋_GB2312" w:hAnsi="仿宋_GB2312" w:eastAsia="仿宋_GB2312" w:cs="仿宋_GB2312"/>
          <w:highlight w:val="none"/>
          <w:u w:val="single"/>
          <w:lang w:val="en-US" w:eastAsia="zh-Hans"/>
        </w:rPr>
        <w:t>（填写“具体的年度、或半年度、或季度”）</w:t>
      </w:r>
      <w:r>
        <w:rPr>
          <w:rFonts w:hint="eastAsia" w:ascii="仿宋_GB2312" w:hAnsi="仿宋_GB2312" w:eastAsia="仿宋_GB2312" w:cs="仿宋_GB2312"/>
          <w:highlight w:val="none"/>
          <w:lang w:val="en-US" w:eastAsia="zh-Hans"/>
        </w:rPr>
        <w:t>财务报告复印件，包括资产负债表、收入支出表（或收入费用表）、财政补助收入支出表（若有）、会计师事务所营业执照和注册会计师资格证书，上述证明材料真实有效，否则我方负全部责任。</w:t>
      </w:r>
    </w:p>
    <w:p w14:paraId="37BD18A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□社会团体、民办非企适用：现附上我方</w:t>
      </w:r>
      <w:r>
        <w:rPr>
          <w:rFonts w:hint="eastAsia" w:ascii="仿宋_GB2312" w:hAnsi="仿宋_GB2312" w:eastAsia="仿宋_GB2312" w:cs="仿宋_GB2312"/>
          <w:highlight w:val="none"/>
          <w:u w:val="single"/>
          <w:lang w:val="en-US" w:eastAsia="zh-Hans"/>
        </w:rPr>
        <w:t>（填写“具体的年度、或半年度、或季度”）</w:t>
      </w:r>
      <w:r>
        <w:rPr>
          <w:rFonts w:hint="eastAsia" w:ascii="仿宋_GB2312" w:hAnsi="仿宋_GB2312" w:eastAsia="仿宋_GB2312" w:cs="仿宋_GB2312"/>
          <w:highlight w:val="none"/>
          <w:lang w:val="en-US" w:eastAsia="zh-Hans"/>
        </w:rPr>
        <w:t>财务报告复印件，包括资产负债表、业务活动表、现金流量表、会计师事务所营业执照和注册会计师资格证书，上述证明材料真实有效，否则我方负全部责任。</w:t>
      </w:r>
    </w:p>
    <w:p w14:paraId="3E940BC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）投标人提供资信证明的</w:t>
      </w:r>
    </w:p>
    <w:p w14:paraId="40EBF3F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□非自然人适用（包括企业、事业单位、社会团体和其他组织）：现附上我方银行：</w:t>
      </w:r>
      <w:r>
        <w:rPr>
          <w:rFonts w:hint="eastAsia" w:ascii="仿宋_GB2312" w:hAnsi="仿宋_GB2312" w:eastAsia="仿宋_GB2312" w:cs="仿宋_GB2312"/>
          <w:highlight w:val="none"/>
          <w:u w:val="single"/>
          <w:lang w:val="en-US" w:eastAsia="zh-Hans"/>
        </w:rPr>
        <w:t>（填写“开户银行全称”）</w:t>
      </w:r>
      <w:r>
        <w:rPr>
          <w:rFonts w:hint="eastAsia" w:ascii="仿宋_GB2312" w:hAnsi="仿宋_GB2312" w:eastAsia="仿宋_GB2312" w:cs="仿宋_GB2312"/>
          <w:highlight w:val="none"/>
          <w:lang w:val="en-US" w:eastAsia="zh-Hans"/>
        </w:rPr>
        <w:t>出具的资信证明复印件，上述证明材料真实有效，否则我方负全部责任。</w:t>
      </w:r>
    </w:p>
    <w:p w14:paraId="6817D12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□自然人适用：现附上我方银行</w:t>
      </w:r>
      <w:r>
        <w:rPr>
          <w:rFonts w:hint="eastAsia" w:ascii="仿宋_GB2312" w:hAnsi="仿宋_GB2312" w:eastAsia="仿宋_GB2312" w:cs="仿宋_GB2312"/>
          <w:highlight w:val="none"/>
          <w:u w:val="single"/>
          <w:lang w:val="en-US" w:eastAsia="zh-Hans"/>
        </w:rPr>
        <w:t>：（填写自然人的“个人账户的开户银行全称”）</w:t>
      </w:r>
      <w:r>
        <w:rPr>
          <w:rFonts w:hint="eastAsia" w:ascii="仿宋_GB2312" w:hAnsi="仿宋_GB2312" w:eastAsia="仿宋_GB2312" w:cs="仿宋_GB2312"/>
          <w:highlight w:val="none"/>
          <w:lang w:val="en-US" w:eastAsia="zh-Hans"/>
        </w:rPr>
        <w:t>出具的资信证明复印件，上述证明材料真实有效，否则我方负全部责任。</w:t>
      </w:r>
    </w:p>
    <w:p w14:paraId="5B4AC38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2816255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1、请投标人按照实际情况编制填写，在相应的（）中打“√”并选择相应的“□”（若有）后，再按照本格式的要求提供相应证明材料的复印件。</w:t>
      </w:r>
    </w:p>
    <w:p w14:paraId="62A39AD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2、投标人提供的财务报告复印件（成立年限按照投标截止时间推算）应符合下列规定：</w:t>
      </w:r>
    </w:p>
    <w:p w14:paraId="0B9CEE9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2.1成立年限满1年及以上的投标人，提供经审计的招标文件规定的年度财务报告。</w:t>
      </w:r>
    </w:p>
    <w:p w14:paraId="5510D2A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2.2成立年限满半年但不足1年的投标人，提供该半年度中任一季度的季度财务报告或该半年度的半年度财务报告。</w:t>
      </w:r>
    </w:p>
    <w:p w14:paraId="5474110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47908D6F">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23EFF2E6">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6C40FD2C">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44376496">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依法缴纳税收证明材料</w:t>
      </w:r>
    </w:p>
    <w:p w14:paraId="75F3D63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00E239A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1、依法缴纳税收的投标人</w:t>
      </w:r>
    </w:p>
    <w:p w14:paraId="0FA2A95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）法人（包括企业、事业单位和社会团体）的</w:t>
      </w:r>
    </w:p>
    <w:p w14:paraId="4EA0F5C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现附上自</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至</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期间我方缴纳（包括但不限于税务机关出具的专用收据、税收缴纳证明或税收代缴银行的缴款收讫凭证）等税收凭据复印件，上述证明材料真实有效，否则我方负全部责任。</w:t>
      </w:r>
    </w:p>
    <w:p w14:paraId="4804300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）非法人（包括其他组织、自然人）的</w:t>
      </w:r>
    </w:p>
    <w:p w14:paraId="4E19962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现附上自</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至</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期间我方缴纳（包括但不限于税务机关出具的专用收据、税收缴纳证明或税收代缴银行的缴款收讫凭证）等税收凭据复印件，上述证明材料真实有效，否则我方负全部责任。</w:t>
      </w:r>
    </w:p>
    <w:p w14:paraId="2A73012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2、依法免税的投标人</w:t>
      </w:r>
    </w:p>
    <w:p w14:paraId="03E67D5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）现附上我方依法免税的证明材料复印件，上述证明材料真实有效，否则我方负全部责任。</w:t>
      </w:r>
    </w:p>
    <w:p w14:paraId="7F795B7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6BE907B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1、请投标人按照实际情况编制填写，在相应的（）中打“√”，并按照本格式的要求提供相应证明材料的复印件。</w:t>
      </w:r>
    </w:p>
    <w:p w14:paraId="34DD956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2、投标人提供的税收缴纳凭据复印件应符合下列规定：</w:t>
      </w:r>
    </w:p>
    <w:p w14:paraId="21D41E5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2.1投标截止时间前（不含投标截止时间的当月）已依法缴纳税收的投标人，提供投标截止时间前六个月（不含投标截止时间的当月）中任一月份的税收缴纳凭据复印件。</w:t>
      </w:r>
    </w:p>
    <w:p w14:paraId="4B23B82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2.2投标截止时间的当月成立的投标人，视同满足本项资格条件要求。</w:t>
      </w:r>
    </w:p>
    <w:p w14:paraId="585DC45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3、若为依法免税范围的投标人，提供依法免税证明材料的，视同满足本项资格条件要求。</w:t>
      </w:r>
    </w:p>
    <w:p w14:paraId="334F5C70">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442A2E78">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6906386C">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53CEB5E9">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依法缴纳社会保障资金证明材料</w:t>
      </w:r>
    </w:p>
    <w:p w14:paraId="7386541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062501C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1、依法缴纳社会保障资金的投标人</w:t>
      </w:r>
    </w:p>
    <w:p w14:paraId="2D3DC01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）法人（包括企业、事业单位和社会团体）的</w:t>
      </w:r>
    </w:p>
    <w:p w14:paraId="34388AA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现附上自</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至</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我方缴纳的社会保险凭据（限：税务机关/社会保障资金管理机关的专用收据或社会保险缴纳清单，或社会保险的银行缴款收讫凭证）复印件，上述证明材料真实有效，否则我方负全部责任。</w:t>
      </w:r>
    </w:p>
    <w:p w14:paraId="44DC1E2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）非法人（包括其他组织、自然人）的</w:t>
      </w:r>
    </w:p>
    <w:p w14:paraId="2984201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自</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至</w:t>
      </w:r>
      <w:r>
        <w:rPr>
          <w:rFonts w:hint="eastAsia" w:ascii="仿宋_GB2312" w:hAnsi="仿宋_GB2312" w:eastAsia="仿宋_GB2312" w:cs="仿宋_GB2312"/>
          <w:highlight w:val="none"/>
          <w:u w:val="single"/>
          <w:lang w:val="en-US" w:eastAsia="zh-Hans"/>
        </w:rPr>
        <w:t>　　年　　月　　日</w:t>
      </w:r>
      <w:r>
        <w:rPr>
          <w:rFonts w:hint="eastAsia" w:ascii="仿宋_GB2312" w:hAnsi="仿宋_GB2312" w:eastAsia="仿宋_GB2312" w:cs="仿宋_GB2312"/>
          <w:highlight w:val="none"/>
          <w:lang w:val="en-US" w:eastAsia="zh-Hans"/>
        </w:rPr>
        <w:t>我方缴纳的社会保险凭据（限：税务机关/社会保障资金管理机关的专用收据或社会保险缴纳清单，或社会保险的银行缴款收讫凭证）复印件，上述证明材料真实有效，否则我方负全部责任。</w:t>
      </w:r>
    </w:p>
    <w:p w14:paraId="52BD2EE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2、依法不需要缴纳或暂缓缴纳社会保障资金的投标人</w:t>
      </w:r>
    </w:p>
    <w:p w14:paraId="0791D07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）现附上我方依法不需要缴纳或暂缓缴纳社会保障资金证明材料复印件，上述证明材料真实有效，否则我方负全部责任。</w:t>
      </w:r>
    </w:p>
    <w:p w14:paraId="01431F1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0C3362A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1、请投标人按照实际情况编制填写，在相应的（）中打“√”，并按照本格式的要求提供相应证明材料的复印件。</w:t>
      </w:r>
    </w:p>
    <w:p w14:paraId="5EADE68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2、投标人提供的社会保障资金缴纳凭据复印件应符合下列规定：</w:t>
      </w:r>
    </w:p>
    <w:p w14:paraId="1EE3660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2.1投标截止时间前（不含投标截止时间的当月）已依法缴纳社会保障资金的投标人，提供投标截止时间前六个月（不含投标截止时间的当月）中任一月份的社会保障资金缴纳凭据复印件。</w:t>
      </w:r>
    </w:p>
    <w:p w14:paraId="2968682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2.2投标截止时间的当月成立的投标人，视同满足本项资格条件要求。</w:t>
      </w:r>
    </w:p>
    <w:p w14:paraId="3EC01AA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3、若为依法不需要缴纳或暂缓缴纳社会保障资金的投标人，提供依法不需要缴纳或暂缓缴纳社会保障资金证明材料的，视同满足本项资格条件要求。</w:t>
      </w:r>
    </w:p>
    <w:p w14:paraId="124244E5">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0BF9B98A">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1A716032">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787F1FC6">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具备履行合同所必需设备和专业技术能力的声明函（若有）</w:t>
      </w:r>
    </w:p>
    <w:p w14:paraId="6B63126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77C4CFF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我方具备履行合同所必需的设备和专业技术能力，否则产生不利后果由我方承担责任。</w:t>
      </w:r>
    </w:p>
    <w:p w14:paraId="3240FD21">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特此声明。</w:t>
      </w:r>
    </w:p>
    <w:p w14:paraId="779A7F9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3FC6F0A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1、招标文件未要求投标人提供“具备履行合同所必需的设备和专业技术能力专项证明材料”的，投标人应提供本声明函。</w:t>
      </w:r>
    </w:p>
    <w:p w14:paraId="4BE244F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2、招标文件要求投标人提供“具备履行合同所必需的设备和专业技术能力专项证明材料”的，投标人可不提供本声明函。</w:t>
      </w:r>
    </w:p>
    <w:p w14:paraId="60ECEEE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3、请投标人根据实际情况如实声明，否则视为提供虚假材料。</w:t>
      </w:r>
    </w:p>
    <w:p w14:paraId="0270D36C">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0FF41889">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24808344">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5548946C">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参加采购活动前三年内在经营活动中没有重大违法记录书面声明</w:t>
      </w:r>
    </w:p>
    <w:p w14:paraId="53E0A89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6E6D6FD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参加采购活动前三年内，我方在经营活动中没有重大违法记录，即没有因违法经营受到刑事处罚或责令停产停业、吊销许可证或执照、较大数额罚款等行政处罚。否则产生不利后果由我方承担责任。</w:t>
      </w:r>
    </w:p>
    <w:p w14:paraId="108DD010">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特此声明。</w:t>
      </w:r>
    </w:p>
    <w:p w14:paraId="3A0304E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48C55C1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366AC1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请投标人根据实际情况如实声明，否则视为提供虚假材料。</w:t>
      </w:r>
    </w:p>
    <w:p w14:paraId="0BE690ED">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6313FF13">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6DCF25A5">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69ED56C2">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二-3信用记录查询提示</w:t>
      </w:r>
    </w:p>
    <w:p w14:paraId="03390E9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1、由资格审查小组通过网站查询并打印投标人的信用记录。</w:t>
      </w:r>
    </w:p>
    <w:p w14:paraId="1A98F41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2、经查询，投标人参加本项目采购活动</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投标截止时间</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前三年内被列入失信被执行人名单、重大税收违法案件当事人名单、政府采购严重违法失信行为记录名单及其他重大违法记录且相关信用惩戒期限未满的，其资格审查不合格。</w:t>
      </w:r>
    </w:p>
    <w:p w14:paraId="35C5D59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6500427">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2E526A60">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二-4中小企业声明函</w:t>
      </w:r>
    </w:p>
    <w:p w14:paraId="33900CBC">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（以资格条件落实中小企业扶持政策时适用，若有）</w:t>
      </w:r>
    </w:p>
    <w:p w14:paraId="05213447">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中小企业声明函（货物）</w:t>
      </w:r>
    </w:p>
    <w:p w14:paraId="7C138A4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本公司（联合体）郑重声明，根据《政府采购促进中小企业发展管理办法》（财库﹝2020﹞46 号）的规定，本公司（联合体）参加</w:t>
      </w:r>
      <w:r>
        <w:rPr>
          <w:rFonts w:hint="eastAsia" w:ascii="仿宋_GB2312" w:hAnsi="仿宋_GB2312" w:eastAsia="仿宋_GB2312" w:cs="仿宋_GB2312"/>
          <w:highlight w:val="none"/>
          <w:u w:val="single"/>
          <w:lang w:val="en-US" w:eastAsia="zh-Hans"/>
        </w:rPr>
        <w:t>（单位名称）</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u w:val="single"/>
          <w:lang w:val="en-US" w:eastAsia="zh-Hans"/>
        </w:rPr>
        <w:t>（项目名称）</w:t>
      </w:r>
      <w:r>
        <w:rPr>
          <w:rFonts w:hint="eastAsia" w:ascii="仿宋_GB2312" w:hAnsi="仿宋_GB2312" w:eastAsia="仿宋_GB2312" w:cs="仿宋_GB2312"/>
          <w:highlight w:val="none"/>
          <w:lang w:val="en-US" w:eastAsia="zh-Hans"/>
        </w:rPr>
        <w:t>采购活动，提供的货物全部由符合政策要求的中小企业制造。相关企业（含联合体中的中小企业、签订分包意向协议的中小企业）的具体情况如下：</w:t>
      </w:r>
    </w:p>
    <w:p w14:paraId="2B2445A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r>
        <w:rPr>
          <w:rFonts w:hint="eastAsia" w:ascii="仿宋_GB2312" w:hAnsi="仿宋_GB2312" w:eastAsia="仿宋_GB2312" w:cs="仿宋_GB2312"/>
          <w:highlight w:val="none"/>
          <w:u w:val="single"/>
          <w:lang w:val="en-US" w:eastAsia="zh-Hans"/>
        </w:rPr>
        <w:t xml:space="preserve"> （标的名称） </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行业；制造商为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万元¹，属于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0E60E24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r>
        <w:rPr>
          <w:rFonts w:hint="eastAsia" w:ascii="仿宋_GB2312" w:hAnsi="仿宋_GB2312" w:eastAsia="仿宋_GB2312" w:cs="仿宋_GB2312"/>
          <w:highlight w:val="none"/>
          <w:u w:val="single"/>
          <w:lang w:val="en-US" w:eastAsia="zh-Hans"/>
        </w:rPr>
        <w:t xml:space="preserve"> （标的名称） </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行业；制造商为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2E788D1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392180C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以上企业，不属于大企业的分支机构，不存在控股股东为大企业的情形，也不存在与大企业的负责人为同一人的情形。</w:t>
      </w:r>
    </w:p>
    <w:p w14:paraId="374CC4F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本企业对上述声明内容的真实性负责。如有虚假，将依法承担相应责任。</w:t>
      </w:r>
    </w:p>
    <w:p w14:paraId="52FB9892">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3D93255A">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3168398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298398F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1、从业人员、营业收入、资产总额填报上一年度数据，无上一年度数据的新成立企业可不填报。</w:t>
      </w:r>
    </w:p>
    <w:p w14:paraId="214314B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06DC26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5F12355">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17A48799">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中小企业声明函（工程、服务）</w:t>
      </w:r>
    </w:p>
    <w:p w14:paraId="09C4895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本公司（联合体）郑重声明，根据《政府采购促进中小企业发展管理办法》（财库﹝2020﹞46 号）的规定，本公司（联合体）参加</w:t>
      </w:r>
      <w:r>
        <w:rPr>
          <w:rFonts w:hint="eastAsia" w:ascii="仿宋_GB2312" w:hAnsi="仿宋_GB2312" w:eastAsia="仿宋_GB2312" w:cs="仿宋_GB2312"/>
          <w:highlight w:val="none"/>
          <w:u w:val="single"/>
          <w:lang w:val="en-US" w:eastAsia="zh-Hans"/>
        </w:rPr>
        <w:t>（单位名称）</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u w:val="single"/>
          <w:lang w:val="en-US" w:eastAsia="zh-Hans"/>
        </w:rPr>
        <w:t>（项目名称）</w:t>
      </w:r>
      <w:r>
        <w:rPr>
          <w:rFonts w:hint="eastAsia" w:ascii="仿宋_GB2312" w:hAnsi="仿宋_GB2312" w:eastAsia="仿宋_GB2312" w:cs="仿宋_GB2312"/>
          <w:highlight w:val="none"/>
          <w:lang w:val="en-US" w:eastAsia="zh-Hans"/>
        </w:rPr>
        <w:t>采购活动，工程的施工单位全部为符合政策要求的中小企业（或者：服务全部由符合政策要求的中小企业承接）。相关企业（含联合体中的中小企业、签订分包意向协议的中小企业）的具体情况如下：</w:t>
      </w:r>
    </w:p>
    <w:p w14:paraId="0CFBAA9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r>
        <w:rPr>
          <w:rFonts w:hint="eastAsia" w:ascii="仿宋_GB2312" w:hAnsi="仿宋_GB2312" w:eastAsia="仿宋_GB2312" w:cs="仿宋_GB2312"/>
          <w:highlight w:val="none"/>
          <w:u w:val="single"/>
          <w:lang w:val="en-US" w:eastAsia="zh-Hans"/>
        </w:rPr>
        <w:t>（标的名称）</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；承建（承接）企业为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万元¹，属于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29AADEB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r>
        <w:rPr>
          <w:rFonts w:hint="eastAsia" w:ascii="仿宋_GB2312" w:hAnsi="仿宋_GB2312" w:eastAsia="仿宋_GB2312" w:cs="仿宋_GB2312"/>
          <w:highlight w:val="none"/>
          <w:u w:val="single"/>
          <w:lang w:val="en-US" w:eastAsia="zh-Hans"/>
        </w:rPr>
        <w:t>（标的名称）</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；承建（承接）企业为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1D003D2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29969F2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以上企业，不属于大企业的分支机构，不存在控股股东为大企业的情形，也不存在与大企业的负责人为同一人的情形。</w:t>
      </w:r>
    </w:p>
    <w:p w14:paraId="57E1F1C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本企业对上述声明内容的真实性负责。如有虚假，将依法承担相应责任。</w:t>
      </w:r>
    </w:p>
    <w:p w14:paraId="2BD6B8E4">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4F4C0117">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37D1373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31090C0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1、从业人员、营业收入、资产总额填报上一年度数据，无上一年度数据的新成立企业可不填报。</w:t>
      </w:r>
    </w:p>
    <w:p w14:paraId="4BEFF26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E0ABD4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A848A73">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642539FD">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残疾人福利性单位声明函</w:t>
      </w:r>
    </w:p>
    <w:p w14:paraId="05405402">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（以资格条件落实中小企业扶持政策时适用，若有）</w:t>
      </w:r>
    </w:p>
    <w:p w14:paraId="34ADFFA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BF0075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09FFCC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）由本投标人承建的（填写“所投采购包、品目号”）工程</w:t>
      </w:r>
    </w:p>
    <w:p w14:paraId="5598898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）由本投标人承接的（填写“所投采购包、品目号”）服务；</w:t>
      </w:r>
    </w:p>
    <w:p w14:paraId="478120C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本投标人对上述声明的真实性负责。如有虚假，将依法承担相应责任。</w:t>
      </w:r>
    </w:p>
    <w:p w14:paraId="3FDBE8C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w:t>
      </w:r>
    </w:p>
    <w:p w14:paraId="13F560A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1、请投标人按照实际情况编制填写本声明函，并在相应的（）中打“√”。</w:t>
      </w:r>
    </w:p>
    <w:p w14:paraId="6CBA419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2、若《残疾人福利性单位声明函》内容不真实，视为提供虚假材料。</w:t>
      </w:r>
    </w:p>
    <w:p w14:paraId="417FCE62">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1BD26D53">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1E7F429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附：</w:t>
      </w:r>
    </w:p>
    <w:p w14:paraId="67208396">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监狱企业证明材料</w:t>
      </w:r>
    </w:p>
    <w:p w14:paraId="7DAB105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投标人为监狱企业，提供本单位制造的货物（承接的服务），并在电子投标文件中提供省级以上监狱管理局、戒毒管理局（含新疆生产建设兵团）出具的属于监狱企业的证明文件。</w:t>
      </w:r>
    </w:p>
    <w:p w14:paraId="2CDA32F4">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1425387D">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二-5联合体协议（若有）</w:t>
      </w:r>
    </w:p>
    <w:p w14:paraId="5EE27A9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致：</w:t>
      </w:r>
      <w:r>
        <w:rPr>
          <w:rFonts w:hint="eastAsia" w:ascii="仿宋_GB2312" w:hAnsi="仿宋_GB2312" w:eastAsia="仿宋_GB2312" w:cs="仿宋_GB2312"/>
          <w:highlight w:val="none"/>
          <w:u w:val="single"/>
          <w:lang w:val="en-US" w:eastAsia="zh-Hans"/>
        </w:rPr>
        <w:t>（采购人或采购代理机构）</w:t>
      </w:r>
    </w:p>
    <w:p w14:paraId="45BD6AB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兹有</w:t>
      </w:r>
      <w:r>
        <w:rPr>
          <w:rFonts w:hint="eastAsia" w:ascii="仿宋_GB2312" w:hAnsi="仿宋_GB2312" w:eastAsia="仿宋_GB2312" w:cs="仿宋_GB2312"/>
          <w:highlight w:val="none"/>
          <w:u w:val="single"/>
          <w:lang w:val="en-US" w:eastAsia="zh-Hans"/>
        </w:rPr>
        <w:t>（填写“联合体中各方的全称”，各方的全称之间请用“、”分割）</w:t>
      </w:r>
      <w:r>
        <w:rPr>
          <w:rFonts w:hint="eastAsia" w:ascii="仿宋_GB2312" w:hAnsi="仿宋_GB2312" w:eastAsia="仿宋_GB2312" w:cs="仿宋_GB2312"/>
          <w:highlight w:val="none"/>
          <w:lang w:val="en-US" w:eastAsia="zh-Hans"/>
        </w:rPr>
        <w:t>自愿组成联合体，共同参加</w:t>
      </w:r>
      <w:r>
        <w:rPr>
          <w:rFonts w:hint="eastAsia" w:ascii="仿宋_GB2312" w:hAnsi="仿宋_GB2312" w:eastAsia="仿宋_GB2312" w:cs="仿宋_GB2312"/>
          <w:highlight w:val="none"/>
          <w:u w:val="single"/>
          <w:lang w:val="en-US" w:eastAsia="zh-Hans"/>
        </w:rPr>
        <w:t>（填写“项目名称”）</w:t>
      </w:r>
      <w:r>
        <w:rPr>
          <w:rFonts w:hint="eastAsia" w:ascii="仿宋_GB2312" w:hAnsi="仿宋_GB2312" w:eastAsia="仿宋_GB2312" w:cs="仿宋_GB2312"/>
          <w:highlight w:val="none"/>
          <w:lang w:val="en-US" w:eastAsia="zh-Hans"/>
        </w:rPr>
        <w:t xml:space="preserve"> 项目（项目编号：</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）的投标。现就联合体参加本项目投标的有关事宜达成下列协议：</w:t>
      </w:r>
    </w:p>
    <w:p w14:paraId="75ADD6E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一、联合体各方应承担的工作和义务具体如下：</w:t>
      </w:r>
    </w:p>
    <w:p w14:paraId="7259E89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1、牵头方（全称）：</w:t>
      </w:r>
      <w:r>
        <w:rPr>
          <w:rFonts w:hint="eastAsia" w:ascii="仿宋_GB2312" w:hAnsi="仿宋_GB2312" w:eastAsia="仿宋_GB2312" w:cs="仿宋_GB2312"/>
          <w:highlight w:val="none"/>
          <w:u w:val="single"/>
          <w:lang w:val="en-US" w:eastAsia="zh-Hans"/>
        </w:rPr>
        <w:t xml:space="preserve">（填写“工作及义务的具体内容”） </w:t>
      </w:r>
      <w:r>
        <w:rPr>
          <w:rFonts w:hint="eastAsia" w:ascii="仿宋_GB2312" w:hAnsi="仿宋_GB2312" w:eastAsia="仿宋_GB2312" w:cs="仿宋_GB2312"/>
          <w:highlight w:val="none"/>
          <w:lang w:val="en-US" w:eastAsia="zh-Hans"/>
        </w:rPr>
        <w:t>；</w:t>
      </w:r>
    </w:p>
    <w:p w14:paraId="3FDB7BC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2、成员方：</w:t>
      </w:r>
    </w:p>
    <w:p w14:paraId="2C88DF6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2.1（成员一的全称）：</w:t>
      </w:r>
      <w:r>
        <w:rPr>
          <w:rFonts w:hint="eastAsia" w:ascii="仿宋_GB2312" w:hAnsi="仿宋_GB2312" w:eastAsia="仿宋_GB2312" w:cs="仿宋_GB2312"/>
          <w:highlight w:val="none"/>
          <w:u w:val="single"/>
          <w:lang w:val="en-US" w:eastAsia="zh-Hans"/>
        </w:rPr>
        <w:t>（填写“工作及义务的具体内容”）</w:t>
      </w:r>
      <w:r>
        <w:rPr>
          <w:rFonts w:hint="eastAsia" w:ascii="仿宋_GB2312" w:hAnsi="仿宋_GB2312" w:eastAsia="仿宋_GB2312" w:cs="仿宋_GB2312"/>
          <w:highlight w:val="none"/>
          <w:lang w:val="en-US" w:eastAsia="zh-Hans"/>
        </w:rPr>
        <w:t xml:space="preserve"> ；</w:t>
      </w:r>
    </w:p>
    <w:p w14:paraId="0484A22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478B7D2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二、联合体各方的合同金额占比，具体如下：</w:t>
      </w:r>
    </w:p>
    <w:p w14:paraId="506F0F8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1.牵头方（</w:t>
      </w:r>
      <w:r>
        <w:rPr>
          <w:rFonts w:hint="eastAsia" w:ascii="仿宋_GB2312" w:hAnsi="仿宋_GB2312" w:eastAsia="仿宋_GB2312" w:cs="仿宋_GB2312"/>
          <w:highlight w:val="none"/>
          <w:u w:val="single"/>
          <w:lang w:val="en-US" w:eastAsia="zh-Hans"/>
        </w:rPr>
        <w:t xml:space="preserve"> 全称</w:t>
      </w:r>
      <w:r>
        <w:rPr>
          <w:rFonts w:hint="eastAsia" w:ascii="仿宋_GB2312" w:hAnsi="仿宋_GB2312" w:eastAsia="仿宋_GB2312" w:cs="仿宋_GB2312"/>
          <w:highlight w:val="none"/>
          <w:lang w:val="en-US" w:eastAsia="zh-Hans"/>
        </w:rPr>
        <w:t xml:space="preserve"> ）的合同金额占合同总额的</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w:t>
      </w:r>
    </w:p>
    <w:p w14:paraId="1F88599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2.成员方：</w:t>
      </w:r>
    </w:p>
    <w:p w14:paraId="04E2B17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2.1（</w:t>
      </w:r>
      <w:r>
        <w:rPr>
          <w:rFonts w:hint="eastAsia" w:ascii="仿宋_GB2312" w:hAnsi="仿宋_GB2312" w:eastAsia="仿宋_GB2312" w:cs="仿宋_GB2312"/>
          <w:highlight w:val="none"/>
          <w:u w:val="single"/>
          <w:lang w:val="en-US" w:eastAsia="zh-Hans"/>
        </w:rPr>
        <w:t xml:space="preserve"> 成员1的全称 </w:t>
      </w:r>
      <w:r>
        <w:rPr>
          <w:rFonts w:hint="eastAsia" w:ascii="仿宋_GB2312" w:hAnsi="仿宋_GB2312" w:eastAsia="仿宋_GB2312" w:cs="仿宋_GB2312"/>
          <w:highlight w:val="none"/>
          <w:lang w:val="en-US" w:eastAsia="zh-Hans"/>
        </w:rPr>
        <w:t>）的合同金额占合同总额的</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w:t>
      </w:r>
    </w:p>
    <w:p w14:paraId="2574526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354B53B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三、联合体各方约定：</w:t>
      </w:r>
    </w:p>
    <w:p w14:paraId="53CA16D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1、由</w:t>
      </w:r>
      <w:r>
        <w:rPr>
          <w:rFonts w:hint="eastAsia" w:ascii="仿宋_GB2312" w:hAnsi="仿宋_GB2312" w:eastAsia="仿宋_GB2312" w:cs="仿宋_GB2312"/>
          <w:highlight w:val="none"/>
          <w:u w:val="single"/>
          <w:lang w:val="en-US" w:eastAsia="zh-Hans"/>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E9E7B6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2、联合体各方约定由</w:t>
      </w:r>
      <w:r>
        <w:rPr>
          <w:rFonts w:hint="eastAsia" w:ascii="仿宋_GB2312" w:hAnsi="仿宋_GB2312" w:eastAsia="仿宋_GB2312" w:cs="仿宋_GB2312"/>
          <w:highlight w:val="none"/>
          <w:u w:val="single"/>
          <w:lang w:val="en-US" w:eastAsia="zh-Hans"/>
        </w:rPr>
        <w:t>（填写“牵头方的全称”）代表联合体办理投标保证金事宜。</w:t>
      </w:r>
    </w:p>
    <w:p w14:paraId="18CAE67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2687AAF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四、若中标，牵头方将代表联合体与采购人就合同签订事宜进行协商；若协商一致，则联合体各方将共同与采购人签订政府采购合同，并就政府采购合同约定的事项对采购人承担连带责任。</w:t>
      </w:r>
    </w:p>
    <w:p w14:paraId="5492196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五、本协议自签署之日起生效，政府采购合同履行完毕后自动失效。</w:t>
      </w:r>
    </w:p>
    <w:p w14:paraId="7C8020E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六、本协议一式</w:t>
      </w:r>
      <w:r>
        <w:rPr>
          <w:rFonts w:hint="eastAsia" w:ascii="仿宋_GB2312" w:hAnsi="仿宋_GB2312" w:eastAsia="仿宋_GB2312" w:cs="仿宋_GB2312"/>
          <w:highlight w:val="none"/>
          <w:u w:val="single"/>
          <w:lang w:val="en-US" w:eastAsia="zh-Hans"/>
        </w:rPr>
        <w:t>（填写具体份数）</w:t>
      </w:r>
      <w:r>
        <w:rPr>
          <w:rFonts w:hint="eastAsia" w:ascii="仿宋_GB2312" w:hAnsi="仿宋_GB2312" w:eastAsia="仿宋_GB2312" w:cs="仿宋_GB2312"/>
          <w:highlight w:val="none"/>
          <w:lang w:val="en-US" w:eastAsia="zh-Hans"/>
        </w:rPr>
        <w:t>份，联合体各方各执一份，电子投标文件中提交一份。</w:t>
      </w:r>
    </w:p>
    <w:p w14:paraId="489B0A1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（以下无正文）</w:t>
      </w:r>
    </w:p>
    <w:p w14:paraId="20D269E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牵头方：</w:t>
      </w:r>
      <w:r>
        <w:rPr>
          <w:rFonts w:hint="eastAsia" w:ascii="仿宋_GB2312" w:hAnsi="仿宋_GB2312" w:eastAsia="仿宋_GB2312" w:cs="仿宋_GB2312"/>
          <w:highlight w:val="none"/>
          <w:u w:val="single"/>
          <w:lang w:val="en-US" w:eastAsia="zh-Hans"/>
        </w:rPr>
        <w:t>（全称并加盖单位公章）</w:t>
      </w:r>
    </w:p>
    <w:p w14:paraId="5DA065A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法定代表人或其委托代理人：</w:t>
      </w:r>
      <w:r>
        <w:rPr>
          <w:rFonts w:hint="eastAsia" w:ascii="仿宋_GB2312" w:hAnsi="仿宋_GB2312" w:eastAsia="仿宋_GB2312" w:cs="仿宋_GB2312"/>
          <w:highlight w:val="none"/>
          <w:u w:val="single"/>
          <w:lang w:val="en-US" w:eastAsia="zh-Hans"/>
        </w:rPr>
        <w:t xml:space="preserve"> （签字或盖章）</w:t>
      </w:r>
    </w:p>
    <w:p w14:paraId="31D4B46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成员一：</w:t>
      </w:r>
      <w:r>
        <w:rPr>
          <w:rFonts w:hint="eastAsia" w:ascii="仿宋_GB2312" w:hAnsi="仿宋_GB2312" w:eastAsia="仿宋_GB2312" w:cs="仿宋_GB2312"/>
          <w:highlight w:val="none"/>
          <w:u w:val="single"/>
          <w:lang w:val="en-US" w:eastAsia="zh-Hans"/>
        </w:rPr>
        <w:t>（全称并加盖成员一的单位公章）</w:t>
      </w:r>
    </w:p>
    <w:p w14:paraId="2C99ABF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法定代表人或其委托代理人：</w:t>
      </w:r>
      <w:r>
        <w:rPr>
          <w:rFonts w:hint="eastAsia" w:ascii="仿宋_GB2312" w:hAnsi="仿宋_GB2312" w:eastAsia="仿宋_GB2312" w:cs="仿宋_GB2312"/>
          <w:highlight w:val="none"/>
          <w:u w:val="single"/>
          <w:lang w:val="en-US" w:eastAsia="zh-Hans"/>
        </w:rPr>
        <w:t xml:space="preserve"> （签字或盖章）</w:t>
      </w:r>
    </w:p>
    <w:p w14:paraId="2A893F9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2D9097C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成员**：</w:t>
      </w:r>
      <w:r>
        <w:rPr>
          <w:rFonts w:hint="eastAsia" w:ascii="仿宋_GB2312" w:hAnsi="仿宋_GB2312" w:eastAsia="仿宋_GB2312" w:cs="仿宋_GB2312"/>
          <w:highlight w:val="none"/>
          <w:u w:val="single"/>
          <w:lang w:val="en-US" w:eastAsia="zh-Hans"/>
        </w:rPr>
        <w:t>（全称并加盖成员**的单位公章）</w:t>
      </w:r>
    </w:p>
    <w:p w14:paraId="1CA681B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法定代表人或其委托代理人：</w:t>
      </w:r>
      <w:r>
        <w:rPr>
          <w:rFonts w:hint="eastAsia" w:ascii="仿宋_GB2312" w:hAnsi="仿宋_GB2312" w:eastAsia="仿宋_GB2312" w:cs="仿宋_GB2312"/>
          <w:highlight w:val="none"/>
          <w:u w:val="single"/>
          <w:lang w:val="en-US" w:eastAsia="zh-Hans"/>
        </w:rPr>
        <w:t xml:space="preserve"> （签字或盖章）</w:t>
      </w:r>
    </w:p>
    <w:p w14:paraId="61F518DF">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签署日期：</w:t>
      </w:r>
      <w:r>
        <w:rPr>
          <w:rFonts w:hint="eastAsia" w:ascii="仿宋_GB2312" w:hAnsi="仿宋_GB2312" w:eastAsia="仿宋_GB2312" w:cs="仿宋_GB2312"/>
          <w:highlight w:val="none"/>
          <w:u w:val="single"/>
          <w:lang w:val="en-US" w:eastAsia="zh-Hans"/>
        </w:rPr>
        <w:t>　　年　　月　　日</w:t>
      </w:r>
    </w:p>
    <w:p w14:paraId="7CB25C8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0EE6E1B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1、招标文件接受联合体投标且投标人为联合体的，投标人应提供本协议；否则无须提供。</w:t>
      </w:r>
    </w:p>
    <w:p w14:paraId="451438F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2、本协议由委托代理人签字或盖章的，应按照本章载明的格式提供“单位授权书”。</w:t>
      </w:r>
    </w:p>
    <w:p w14:paraId="7EFF341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3、在以联合体形式落实中小企业预留份额项目中，投标人除了要提供《中小企业声明函》，还需提供本协议。</w:t>
      </w:r>
    </w:p>
    <w:p w14:paraId="73BA5F3C">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6925EF18">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二-6分包意向协议（若有）</w:t>
      </w:r>
    </w:p>
    <w:p w14:paraId="744F376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甲方（总包方）：</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（即本项目的投标人）</w:t>
      </w:r>
    </w:p>
    <w:p w14:paraId="6E00A22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乙方（分包方）：</w:t>
      </w:r>
      <w:r>
        <w:rPr>
          <w:rFonts w:hint="eastAsia" w:ascii="仿宋_GB2312" w:hAnsi="仿宋_GB2312" w:eastAsia="仿宋_GB2312" w:cs="仿宋_GB2312"/>
          <w:highlight w:val="none"/>
          <w:u w:val="single"/>
          <w:lang w:val="en-US" w:eastAsia="zh-Hans"/>
        </w:rPr>
        <w:t>　　　　　　　</w:t>
      </w:r>
    </w:p>
    <w:p w14:paraId="3023495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兹有甲方参加</w:t>
      </w:r>
      <w:r>
        <w:rPr>
          <w:rFonts w:hint="eastAsia" w:ascii="仿宋_GB2312" w:hAnsi="仿宋_GB2312" w:eastAsia="仿宋_GB2312" w:cs="仿宋_GB2312"/>
          <w:highlight w:val="none"/>
          <w:u w:val="single"/>
          <w:lang w:val="en-US" w:eastAsia="zh-Hans"/>
        </w:rPr>
        <w:t>（填写“项目名称”）</w:t>
      </w:r>
      <w:r>
        <w:rPr>
          <w:rFonts w:hint="eastAsia" w:ascii="仿宋_GB2312" w:hAnsi="仿宋_GB2312" w:eastAsia="仿宋_GB2312" w:cs="仿宋_GB2312"/>
          <w:highlight w:val="none"/>
          <w:lang w:val="en-US" w:eastAsia="zh-Hans"/>
        </w:rPr>
        <w:t xml:space="preserve"> 项目（项目编号：</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）的政府采购活动。甲方期望将采购项目的部分采购标的分包给乙方完成，而乙方保证能够向甲方提供本协议项下的采购标的，甲、乙双方就合同分包的有关事宜达成下列协议：</w:t>
      </w:r>
    </w:p>
    <w:p w14:paraId="0611868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一、分包标的</w:t>
      </w:r>
    </w:p>
    <w:p w14:paraId="274728A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u w:val="single"/>
          <w:lang w:val="en-US" w:eastAsia="zh-Hans"/>
        </w:rPr>
        <w:t>（根据双方的意向填写，可以是表格或文字描述）。</w:t>
      </w:r>
    </w:p>
    <w:p w14:paraId="5C7A7D1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二、分包合同金额占比</w:t>
      </w:r>
    </w:p>
    <w:p w14:paraId="442762D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分包合同价占投标总价的比例：</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w:t>
      </w:r>
    </w:p>
    <w:p w14:paraId="64C1CEC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三、其他条款</w:t>
      </w:r>
    </w:p>
    <w:p w14:paraId="03C404C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40208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B4CBA3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甲方：</w:t>
            </w:r>
          </w:p>
        </w:tc>
        <w:tc>
          <w:tcPr>
            <w:tcW w:w="4153" w:type="dxa"/>
          </w:tcPr>
          <w:p w14:paraId="0C2C8BC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乙方：</w:t>
            </w:r>
          </w:p>
        </w:tc>
      </w:tr>
      <w:tr w14:paraId="61A18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E44051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住所：</w:t>
            </w:r>
          </w:p>
        </w:tc>
        <w:tc>
          <w:tcPr>
            <w:tcW w:w="4153" w:type="dxa"/>
          </w:tcPr>
          <w:p w14:paraId="7E5D69D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住所：</w:t>
            </w:r>
          </w:p>
        </w:tc>
      </w:tr>
      <w:tr w14:paraId="79EF7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2B0C29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单位负责人或委托代理人：</w:t>
            </w:r>
          </w:p>
        </w:tc>
        <w:tc>
          <w:tcPr>
            <w:tcW w:w="4153" w:type="dxa"/>
          </w:tcPr>
          <w:p w14:paraId="5AACA58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单位负责人或委托代理人：</w:t>
            </w:r>
          </w:p>
        </w:tc>
      </w:tr>
      <w:tr w14:paraId="787B8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5062F6E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联系方法：</w:t>
            </w:r>
          </w:p>
        </w:tc>
        <w:tc>
          <w:tcPr>
            <w:tcW w:w="4153" w:type="dxa"/>
          </w:tcPr>
          <w:p w14:paraId="31BFBA9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联系方法：</w:t>
            </w:r>
          </w:p>
        </w:tc>
      </w:tr>
      <w:tr w14:paraId="62110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5580DD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开户银行：</w:t>
            </w:r>
          </w:p>
        </w:tc>
        <w:tc>
          <w:tcPr>
            <w:tcW w:w="4153" w:type="dxa"/>
          </w:tcPr>
          <w:p w14:paraId="14DDF40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开户银行：</w:t>
            </w:r>
          </w:p>
        </w:tc>
      </w:tr>
      <w:tr w14:paraId="6549A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54482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账号：</w:t>
            </w:r>
          </w:p>
        </w:tc>
        <w:tc>
          <w:tcPr>
            <w:tcW w:w="4153" w:type="dxa"/>
          </w:tcPr>
          <w:p w14:paraId="67F86B7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账号：</w:t>
            </w:r>
          </w:p>
        </w:tc>
      </w:tr>
      <w:tr w14:paraId="48BB4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CC6AF47">
            <w:pPr>
              <w:ind w:firstLine="96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签订地点：</w:t>
            </w:r>
            <w:r>
              <w:rPr>
                <w:rFonts w:hint="eastAsia" w:ascii="仿宋_GB2312" w:hAnsi="仿宋_GB2312" w:eastAsia="仿宋_GB2312" w:cs="仿宋_GB2312"/>
                <w:highlight w:val="none"/>
                <w:u w:val="single"/>
                <w:lang w:val="en-US" w:eastAsia="zh-Hans"/>
              </w:rPr>
              <w:t>　　　　　　　　　　</w:t>
            </w:r>
          </w:p>
          <w:p w14:paraId="7520A22C">
            <w:pPr>
              <w:ind w:firstLine="96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签约日期：</w:t>
            </w:r>
            <w:r>
              <w:rPr>
                <w:rFonts w:hint="eastAsia" w:ascii="仿宋_GB2312" w:hAnsi="仿宋_GB2312" w:eastAsia="仿宋_GB2312" w:cs="仿宋_GB2312"/>
                <w:highlight w:val="none"/>
                <w:u w:val="single"/>
                <w:lang w:val="en-US" w:eastAsia="zh-Hans"/>
              </w:rPr>
              <w:t>　　年　　月　　日</w:t>
            </w:r>
          </w:p>
        </w:tc>
      </w:tr>
    </w:tbl>
    <w:p w14:paraId="47D904B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2E6EB13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1.招标文件接受合同分包且投标人拟将合同分包的，应提供本协议；否则无须提供。</w:t>
      </w:r>
    </w:p>
    <w:p w14:paraId="60BEA4D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2.本协议由委托代理人签字或盖章的，应按照本章载明的格式提供“单位授权书”。</w:t>
      </w:r>
    </w:p>
    <w:p w14:paraId="27E33C0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3.在以合同分包形式落实中小企业预留份额项目中，投标人除了要提供《中小企业声明函》，还需提供本协议。</w:t>
      </w:r>
    </w:p>
    <w:p w14:paraId="250885F1">
      <w:pPr>
        <w:ind w:firstLine="96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3BDAC2A2">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二-7其他资格证明文件（若有）</w:t>
      </w:r>
    </w:p>
    <w:p w14:paraId="6D7B749E">
      <w:pPr>
        <w:ind w:firstLine="960"/>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二-7-①招标文件规定的其他资格证明文件（若有）</w:t>
      </w:r>
    </w:p>
    <w:p w14:paraId="22B810CA">
      <w:pPr>
        <w:ind w:firstLine="480"/>
        <w:jc w:val="cente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编制说明</w:t>
      </w:r>
    </w:p>
    <w:p w14:paraId="626E8F4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除招标文件另有规定外，招标文件要求提交的除前述资格证明文件外的其他资格证明文件（若有）加盖投标人的单位公章后应在此项下提交。</w:t>
      </w:r>
    </w:p>
    <w:p w14:paraId="589684AD">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06E565EF">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三、投标保证金</w:t>
      </w:r>
    </w:p>
    <w:p w14:paraId="5C0E24C5">
      <w:pPr>
        <w:ind w:firstLine="480"/>
        <w:jc w:val="cente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编制说明</w:t>
      </w:r>
    </w:p>
    <w:p w14:paraId="182DF75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1、在此项下提交的“投标保证金”材料可使用转账凭证复印件或从福建省政府采购网上公开信息系统中下载的有关原始页面的打印件。</w:t>
      </w:r>
    </w:p>
    <w:p w14:paraId="034F6D0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2、投标保证金是否已提交的认定按照招标文件第三章规定执行。</w:t>
      </w:r>
    </w:p>
    <w:p w14:paraId="037731DE">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4F9DA23E">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封面格式</w:t>
      </w:r>
      <w:r>
        <w:rPr>
          <w:rFonts w:hint="eastAsia" w:ascii="仿宋_GB2312" w:hAnsi="仿宋_GB2312" w:eastAsia="仿宋_GB2312" w:cs="仿宋_GB2312"/>
          <w:b/>
          <w:sz w:val="28"/>
          <w:highlight w:val="none"/>
          <w:lang w:val="en-US" w:eastAsia="zh-CN"/>
        </w:rPr>
        <w:t>（</w:t>
      </w:r>
      <w:r>
        <w:rPr>
          <w:rFonts w:hint="eastAsia" w:ascii="仿宋_GB2312" w:hAnsi="仿宋_GB2312" w:eastAsia="仿宋_GB2312" w:cs="仿宋_GB2312"/>
          <w:b/>
          <w:sz w:val="28"/>
          <w:highlight w:val="none"/>
          <w:lang w:val="en-US" w:eastAsia="zh-Hans"/>
        </w:rPr>
        <w:t>报价部分</w:t>
      </w:r>
      <w:r>
        <w:rPr>
          <w:rFonts w:hint="eastAsia" w:ascii="仿宋_GB2312" w:hAnsi="仿宋_GB2312" w:eastAsia="仿宋_GB2312" w:cs="仿宋_GB2312"/>
          <w:b/>
          <w:sz w:val="28"/>
          <w:highlight w:val="none"/>
          <w:lang w:val="en-US" w:eastAsia="zh-CN"/>
        </w:rPr>
        <w:t>）</w:t>
      </w:r>
    </w:p>
    <w:p w14:paraId="1CF25D22">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福建省政府采购投标文件</w:t>
      </w:r>
    </w:p>
    <w:p w14:paraId="6FDC8FFE">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（报价部分）</w:t>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p>
    <w:p w14:paraId="27D6CEB4">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（填写正本或副本）</w:t>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p>
    <w:p w14:paraId="5B2EEF8F">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项目名称：（由投标人填写）</w:t>
      </w:r>
    </w:p>
    <w:p w14:paraId="297CFEA9">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备案编号：（由投标人填写）</w:t>
      </w:r>
    </w:p>
    <w:p w14:paraId="61F8890D">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项目编号：（由投标人填写）</w:t>
      </w:r>
    </w:p>
    <w:p w14:paraId="39B43070">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所投采购包：（由投标人填写）</w:t>
      </w:r>
    </w:p>
    <w:p w14:paraId="7629316A">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投标人：（填写“全称”）</w:t>
      </w:r>
    </w:p>
    <w:p w14:paraId="5A29B60E">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（由投标人填写）年（由投标人填写）月</w:t>
      </w:r>
    </w:p>
    <w:p w14:paraId="777B09A2">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6641DDC8">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索引</w:t>
      </w:r>
    </w:p>
    <w:p w14:paraId="2F52EB8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一、开标（报价）一览表</w:t>
      </w:r>
    </w:p>
    <w:p w14:paraId="510094D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二、投标（响应）报价明细表</w:t>
      </w:r>
    </w:p>
    <w:p w14:paraId="3B8581B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三、招标文件规定的价格扣除证明材料（若有）</w:t>
      </w:r>
    </w:p>
    <w:p w14:paraId="30A1E3D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6287CF92">
      <w:pPr>
        <w:jc w:val="left"/>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开标（报价）一览表</w:t>
      </w:r>
    </w:p>
    <w:p w14:paraId="47F6640B">
      <w:pPr>
        <w:ind w:right="1650"/>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项目编号：</w:t>
      </w:r>
      <w:r>
        <w:rPr>
          <w:rFonts w:hint="eastAsia" w:ascii="仿宋_GB2312" w:hAnsi="仿宋_GB2312" w:eastAsia="仿宋_GB2312" w:cs="仿宋_GB2312"/>
          <w:highlight w:val="none"/>
          <w:lang w:val="en-US" w:eastAsia="zh-CN"/>
        </w:rPr>
        <w:t>[350426]MHSGC[GK]2026001</w:t>
      </w:r>
    </w:p>
    <w:p w14:paraId="05EB2B6D">
      <w:pPr>
        <w:spacing w:line="375" w:lineRule="exact"/>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项目名称：</w:t>
      </w:r>
      <w:r>
        <w:rPr>
          <w:rFonts w:hint="eastAsia" w:ascii="仿宋_GB2312" w:hAnsi="仿宋_GB2312" w:eastAsia="仿宋_GB2312" w:cs="仿宋_GB2312"/>
          <w:highlight w:val="none"/>
          <w:lang w:val="en-US" w:eastAsia="zh-CN"/>
        </w:rPr>
        <w:t>尤溪县无人机空地一体体系建设项目</w:t>
      </w:r>
    </w:p>
    <w:p w14:paraId="21B11797">
      <w:pPr>
        <w:spacing w:line="375" w:lineRule="exact"/>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采购包：1</w:t>
      </w:r>
      <w:r>
        <w:rPr>
          <w:rFonts w:hint="eastAsia" w:ascii="仿宋_GB2312" w:hAnsi="仿宋_GB2312" w:eastAsia="仿宋_GB2312" w:cs="仿宋_GB2312"/>
          <w:highlight w:val="none"/>
          <w:lang w:val="en-US" w:eastAsia="zh-CN"/>
        </w:rPr>
        <w:t>（尤溪县无人机空地一体体系建设项目）</w:t>
      </w:r>
    </w:p>
    <w:p w14:paraId="3EFC6700">
      <w:pPr>
        <w:spacing w:line="375" w:lineRule="exact"/>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投标人（供应商）名称：</w:t>
      </w:r>
    </w:p>
    <w:p w14:paraId="0CCFE0FA">
      <w:pPr>
        <w:jc w:val="left"/>
        <w:rPr>
          <w:rFonts w:hint="eastAsia" w:ascii="Calibri" w:hAnsi="Calibri" w:eastAsia="宋体" w:cs="Times New Roman"/>
          <w:highlight w:val="none"/>
          <w:lang w:val="en-US" w:eastAsia="zh-Hans"/>
        </w:rPr>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DA19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CCC17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序号</w:t>
            </w:r>
          </w:p>
        </w:tc>
        <w:tc>
          <w:tcPr>
            <w:tcW w:w="1661" w:type="dxa"/>
          </w:tcPr>
          <w:p w14:paraId="1B8F0CC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报价内容</w:t>
            </w:r>
          </w:p>
        </w:tc>
        <w:tc>
          <w:tcPr>
            <w:tcW w:w="1661" w:type="dxa"/>
          </w:tcPr>
          <w:p w14:paraId="5FBEAB0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最高限价</w:t>
            </w:r>
          </w:p>
        </w:tc>
        <w:tc>
          <w:tcPr>
            <w:tcW w:w="1661" w:type="dxa"/>
          </w:tcPr>
          <w:p w14:paraId="042DDEB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响应报价</w:t>
            </w:r>
          </w:p>
        </w:tc>
        <w:tc>
          <w:tcPr>
            <w:tcW w:w="1661" w:type="dxa"/>
          </w:tcPr>
          <w:p w14:paraId="0A6C329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价款形式</w:t>
            </w:r>
          </w:p>
        </w:tc>
      </w:tr>
      <w:tr w14:paraId="0E167A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48396E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w:t>
            </w:r>
          </w:p>
        </w:tc>
        <w:tc>
          <w:tcPr>
            <w:tcW w:w="1661" w:type="dxa"/>
          </w:tcPr>
          <w:p w14:paraId="65E1F9AF">
            <w:pPr>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CN"/>
              </w:rPr>
              <w:t>尤溪县无人机空地一体体系建设项目</w:t>
            </w:r>
          </w:p>
        </w:tc>
        <w:tc>
          <w:tcPr>
            <w:tcW w:w="1661" w:type="dxa"/>
          </w:tcPr>
          <w:p w14:paraId="6676A51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1782</w:t>
            </w:r>
            <w:r>
              <w:rPr>
                <w:rFonts w:hint="eastAsia" w:ascii="仿宋_GB2312" w:hAnsi="仿宋_GB2312" w:eastAsia="仿宋_GB2312" w:cs="仿宋_GB2312"/>
                <w:highlight w:val="none"/>
                <w:lang w:val="en-US" w:eastAsia="zh-CN"/>
              </w:rPr>
              <w:t>0000</w:t>
            </w:r>
            <w:r>
              <w:rPr>
                <w:rFonts w:hint="eastAsia" w:ascii="仿宋_GB2312" w:hAnsi="仿宋_GB2312" w:eastAsia="仿宋_GB2312" w:cs="仿宋_GB2312"/>
                <w:highlight w:val="none"/>
                <w:lang w:val="en-US" w:eastAsia="zh-Hans"/>
              </w:rPr>
              <w:t>元</w:t>
            </w:r>
          </w:p>
        </w:tc>
        <w:tc>
          <w:tcPr>
            <w:tcW w:w="1661" w:type="dxa"/>
          </w:tcPr>
          <w:p w14:paraId="35272FA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「汇总引用」  元</w:t>
            </w:r>
          </w:p>
        </w:tc>
        <w:tc>
          <w:tcPr>
            <w:tcW w:w="1661" w:type="dxa"/>
          </w:tcPr>
          <w:p w14:paraId="3F47CA0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总价</w:t>
            </w:r>
          </w:p>
        </w:tc>
      </w:tr>
    </w:tbl>
    <w:p w14:paraId="024555B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备注：无</w:t>
      </w:r>
    </w:p>
    <w:p w14:paraId="2229F06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时间：     年     月     日</w:t>
      </w:r>
    </w:p>
    <w:p w14:paraId="047E478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签章：                     </w:t>
      </w:r>
    </w:p>
    <w:p w14:paraId="28D64012">
      <w:pPr>
        <w:jc w:val="left"/>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投标（响应）报价明细表</w:t>
      </w:r>
    </w:p>
    <w:p w14:paraId="585564EF">
      <w:pPr>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项目编号：</w:t>
      </w:r>
      <w:r>
        <w:rPr>
          <w:rFonts w:hint="eastAsia" w:ascii="仿宋_GB2312" w:hAnsi="仿宋_GB2312" w:eastAsia="仿宋_GB2312" w:cs="仿宋_GB2312"/>
          <w:highlight w:val="none"/>
          <w:lang w:val="en-US" w:eastAsia="zh-CN"/>
        </w:rPr>
        <w:t>[350426]MHSGC[GK]2026001</w:t>
      </w:r>
    </w:p>
    <w:p w14:paraId="3C589269">
      <w:pPr>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项目名称：</w:t>
      </w:r>
      <w:r>
        <w:rPr>
          <w:rFonts w:hint="eastAsia" w:ascii="仿宋_GB2312" w:hAnsi="仿宋_GB2312" w:eastAsia="仿宋_GB2312" w:cs="仿宋_GB2312"/>
          <w:highlight w:val="none"/>
          <w:lang w:val="en-US" w:eastAsia="zh-CN"/>
        </w:rPr>
        <w:t>尤溪县无人机空地一体体系建设项目</w:t>
      </w:r>
    </w:p>
    <w:p w14:paraId="63734B92">
      <w:pPr>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采购包：1</w:t>
      </w:r>
      <w:r>
        <w:rPr>
          <w:rFonts w:hint="eastAsia" w:ascii="仿宋_GB2312" w:hAnsi="仿宋_GB2312" w:eastAsia="仿宋_GB2312" w:cs="仿宋_GB2312"/>
          <w:highlight w:val="none"/>
          <w:lang w:val="en-US" w:eastAsia="zh-CN"/>
        </w:rPr>
        <w:t>（尤溪县无人机空地一体体系建设项目）</w:t>
      </w:r>
    </w:p>
    <w:p w14:paraId="2AA45FF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投标人名称：</w:t>
      </w:r>
    </w:p>
    <w:p w14:paraId="757431B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CN"/>
        </w:rPr>
        <w:t>尤溪县无人机空地一体体系建设项目</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3"/>
        <w:gridCol w:w="743"/>
        <w:gridCol w:w="747"/>
        <w:gridCol w:w="747"/>
        <w:gridCol w:w="747"/>
        <w:gridCol w:w="747"/>
        <w:gridCol w:w="1056"/>
        <w:gridCol w:w="747"/>
        <w:gridCol w:w="754"/>
        <w:gridCol w:w="743"/>
        <w:gridCol w:w="748"/>
      </w:tblGrid>
      <w:tr w14:paraId="65AA6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4D205B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序号</w:t>
            </w:r>
          </w:p>
        </w:tc>
        <w:tc>
          <w:tcPr>
            <w:tcW w:w="755" w:type="dxa"/>
          </w:tcPr>
          <w:p w14:paraId="21494E4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服务名称</w:t>
            </w:r>
          </w:p>
        </w:tc>
        <w:tc>
          <w:tcPr>
            <w:tcW w:w="755" w:type="dxa"/>
          </w:tcPr>
          <w:p w14:paraId="3B9145D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服务范围</w:t>
            </w:r>
          </w:p>
        </w:tc>
        <w:tc>
          <w:tcPr>
            <w:tcW w:w="755" w:type="dxa"/>
          </w:tcPr>
          <w:p w14:paraId="3B7DF45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服务要求</w:t>
            </w:r>
          </w:p>
        </w:tc>
        <w:tc>
          <w:tcPr>
            <w:tcW w:w="755" w:type="dxa"/>
          </w:tcPr>
          <w:p w14:paraId="01FA085D">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服务时间</w:t>
            </w:r>
          </w:p>
        </w:tc>
        <w:tc>
          <w:tcPr>
            <w:tcW w:w="755" w:type="dxa"/>
          </w:tcPr>
          <w:p w14:paraId="77607DD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服务标准</w:t>
            </w:r>
          </w:p>
        </w:tc>
        <w:tc>
          <w:tcPr>
            <w:tcW w:w="755" w:type="dxa"/>
          </w:tcPr>
          <w:p w14:paraId="165489B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最高限价</w:t>
            </w:r>
          </w:p>
        </w:tc>
        <w:tc>
          <w:tcPr>
            <w:tcW w:w="755" w:type="dxa"/>
          </w:tcPr>
          <w:p w14:paraId="0F17684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单价</w:t>
            </w:r>
          </w:p>
        </w:tc>
        <w:tc>
          <w:tcPr>
            <w:tcW w:w="755" w:type="dxa"/>
          </w:tcPr>
          <w:p w14:paraId="3371DE8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数量</w:t>
            </w:r>
          </w:p>
        </w:tc>
        <w:tc>
          <w:tcPr>
            <w:tcW w:w="755" w:type="dxa"/>
          </w:tcPr>
          <w:p w14:paraId="37CBA9B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计量单位</w:t>
            </w:r>
          </w:p>
        </w:tc>
        <w:tc>
          <w:tcPr>
            <w:tcW w:w="755" w:type="dxa"/>
          </w:tcPr>
          <w:p w14:paraId="3CB9F30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总价</w:t>
            </w:r>
          </w:p>
        </w:tc>
      </w:tr>
      <w:tr w14:paraId="6AC75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1E277D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w:t>
            </w:r>
          </w:p>
        </w:tc>
        <w:tc>
          <w:tcPr>
            <w:tcW w:w="755" w:type="dxa"/>
          </w:tcPr>
          <w:p w14:paraId="02C400E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CN"/>
              </w:rPr>
              <w:t>尤溪县无人机空地一体体系建设项目</w:t>
            </w:r>
          </w:p>
        </w:tc>
        <w:tc>
          <w:tcPr>
            <w:tcW w:w="755" w:type="dxa"/>
          </w:tcPr>
          <w:p w14:paraId="2CCB010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{供应商响应}</w:t>
            </w:r>
          </w:p>
        </w:tc>
        <w:tc>
          <w:tcPr>
            <w:tcW w:w="755" w:type="dxa"/>
          </w:tcPr>
          <w:p w14:paraId="6AE1DF2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{供应商响应}</w:t>
            </w:r>
          </w:p>
        </w:tc>
        <w:tc>
          <w:tcPr>
            <w:tcW w:w="755" w:type="dxa"/>
          </w:tcPr>
          <w:p w14:paraId="47E5DB1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{供应商响应}</w:t>
            </w:r>
          </w:p>
        </w:tc>
        <w:tc>
          <w:tcPr>
            <w:tcW w:w="755" w:type="dxa"/>
          </w:tcPr>
          <w:p w14:paraId="02A28E3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{供应商响应}</w:t>
            </w:r>
          </w:p>
        </w:tc>
        <w:tc>
          <w:tcPr>
            <w:tcW w:w="755" w:type="dxa"/>
          </w:tcPr>
          <w:p w14:paraId="07043E7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1782</w:t>
            </w:r>
            <w:r>
              <w:rPr>
                <w:rFonts w:hint="eastAsia" w:ascii="仿宋_GB2312" w:hAnsi="仿宋_GB2312" w:eastAsia="仿宋_GB2312" w:cs="仿宋_GB2312"/>
                <w:highlight w:val="none"/>
                <w:lang w:val="en-US" w:eastAsia="zh-CN"/>
              </w:rPr>
              <w:t>0000</w:t>
            </w:r>
            <w:r>
              <w:rPr>
                <w:rFonts w:hint="eastAsia" w:ascii="仿宋_GB2312" w:hAnsi="仿宋_GB2312" w:eastAsia="仿宋_GB2312" w:cs="仿宋_GB2312"/>
                <w:highlight w:val="none"/>
                <w:lang w:val="en-US" w:eastAsia="zh-Hans"/>
              </w:rPr>
              <w:t xml:space="preserve">  元</w:t>
            </w:r>
          </w:p>
        </w:tc>
        <w:tc>
          <w:tcPr>
            <w:tcW w:w="755" w:type="dxa"/>
          </w:tcPr>
          <w:p w14:paraId="0276475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{=总价/数量}  元</w:t>
            </w:r>
          </w:p>
        </w:tc>
        <w:tc>
          <w:tcPr>
            <w:tcW w:w="755" w:type="dxa"/>
          </w:tcPr>
          <w:p w14:paraId="52D8F262">
            <w:pPr>
              <w:jc w:val="left"/>
              <w:rPr>
                <w:rFonts w:hint="default"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CN"/>
              </w:rPr>
              <w:t>63720</w:t>
            </w:r>
          </w:p>
        </w:tc>
        <w:tc>
          <w:tcPr>
            <w:tcW w:w="755" w:type="dxa"/>
          </w:tcPr>
          <w:p w14:paraId="572EC880">
            <w:pPr>
              <w:jc w:val="left"/>
              <w:rPr>
                <w:rFonts w:hint="eastAsia" w:ascii="Calibri" w:hAnsi="Calibri" w:eastAsia="仿宋_GB2312" w:cs="Times New Roman"/>
                <w:highlight w:val="none"/>
                <w:lang w:val="en-US" w:eastAsia="zh-CN"/>
              </w:rPr>
            </w:pPr>
            <w:r>
              <w:rPr>
                <w:rFonts w:hint="eastAsia" w:ascii="仿宋_GB2312" w:hAnsi="仿宋_GB2312" w:eastAsia="仿宋_GB2312" w:cs="仿宋_GB2312"/>
                <w:highlight w:val="none"/>
                <w:lang w:val="en-US" w:eastAsia="zh-Hans"/>
              </w:rPr>
              <w:t xml:space="preserve"> 架次</w:t>
            </w:r>
          </w:p>
        </w:tc>
        <w:tc>
          <w:tcPr>
            <w:tcW w:w="755" w:type="dxa"/>
          </w:tcPr>
          <w:p w14:paraId="646AB59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{供应商响应}  元</w:t>
            </w:r>
          </w:p>
        </w:tc>
      </w:tr>
    </w:tbl>
    <w:p w14:paraId="0565BE5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合计：</w:t>
      </w:r>
    </w:p>
    <w:p w14:paraId="740034E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备注：无</w:t>
      </w:r>
    </w:p>
    <w:p w14:paraId="79D2520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时间：     年     月     日</w:t>
      </w:r>
    </w:p>
    <w:p w14:paraId="2AA1899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签章：                     </w:t>
      </w:r>
    </w:p>
    <w:p w14:paraId="2513289D">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651688D1">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三、招标文件规定的价格扣除证明材料（若有）</w:t>
      </w:r>
    </w:p>
    <w:p w14:paraId="0CC1DE78">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三-1优先类节能产品、环境标志产品价格扣除证明材料（若有）</w:t>
      </w:r>
    </w:p>
    <w:p w14:paraId="3D3C6BEE">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三-1-①优先类节能产品、环境标志产品统计表（价格扣除适用，若有）</w:t>
      </w:r>
    </w:p>
    <w:p w14:paraId="1EF9168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项目编号：</w:t>
      </w:r>
      <w:r>
        <w:rPr>
          <w:rFonts w:hint="eastAsia" w:ascii="仿宋_GB2312" w:hAnsi="仿宋_GB2312" w:eastAsia="仿宋_GB2312" w:cs="仿宋_GB2312"/>
          <w:highlight w:val="none"/>
          <w:u w:val="single"/>
          <w:lang w:val="en-US" w:eastAsia="zh-Hans"/>
        </w:rPr>
        <w:t>　　　　　　　　</w:t>
      </w:r>
    </w:p>
    <w:tbl>
      <w:tblPr>
        <w:tblStyle w:val="2"/>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4"/>
        <w:gridCol w:w="1217"/>
        <w:gridCol w:w="1217"/>
        <w:gridCol w:w="4871"/>
      </w:tblGrid>
      <w:tr w14:paraId="5262D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5ACDDEFA">
            <w:pPr>
              <w:autoSpaceDE w:val="0"/>
              <w:autoSpaceDN w:val="0"/>
              <w:jc w:val="left"/>
              <w:rPr>
                <w:rFonts w:ascii="宋体" w:hAnsi="宋体" w:eastAsia="宋体" w:cs="宋体"/>
                <w:kern w:val="0"/>
                <w:sz w:val="22"/>
                <w:szCs w:val="22"/>
                <w:highlight w:val="none"/>
              </w:rPr>
            </w:pPr>
          </w:p>
        </w:tc>
        <w:tc>
          <w:tcPr>
            <w:tcW w:w="4286" w:type="pct"/>
            <w:gridSpan w:val="3"/>
          </w:tcPr>
          <w:p w14:paraId="5318C7B3">
            <w:pPr>
              <w:jc w:val="cente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本采购包内属于节能、环境标志产品情况</w:t>
            </w:r>
          </w:p>
        </w:tc>
      </w:tr>
      <w:tr w14:paraId="7AEBD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636B254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w:t>
            </w:r>
          </w:p>
        </w:tc>
        <w:tc>
          <w:tcPr>
            <w:tcW w:w="714" w:type="pct"/>
          </w:tcPr>
          <w:p w14:paraId="6429919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品目号</w:t>
            </w:r>
          </w:p>
        </w:tc>
        <w:tc>
          <w:tcPr>
            <w:tcW w:w="714" w:type="pct"/>
          </w:tcPr>
          <w:p w14:paraId="53E5DD7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产品名称</w:t>
            </w:r>
          </w:p>
        </w:tc>
        <w:tc>
          <w:tcPr>
            <w:tcW w:w="2857" w:type="pct"/>
          </w:tcPr>
          <w:p w14:paraId="1FD7727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认证种类</w:t>
            </w:r>
          </w:p>
        </w:tc>
      </w:tr>
      <w:tr w14:paraId="6910D8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vMerge w:val="restart"/>
          </w:tcPr>
          <w:p w14:paraId="5E6D783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714" w:type="pct"/>
          </w:tcPr>
          <w:p w14:paraId="100995E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714" w:type="pct"/>
          </w:tcPr>
          <w:p w14:paraId="4A80F3E8">
            <w:pPr>
              <w:autoSpaceDE w:val="0"/>
              <w:autoSpaceDN w:val="0"/>
              <w:jc w:val="left"/>
              <w:rPr>
                <w:rFonts w:ascii="宋体" w:hAnsi="宋体" w:eastAsia="宋体" w:cs="宋体"/>
                <w:kern w:val="0"/>
                <w:sz w:val="22"/>
                <w:szCs w:val="22"/>
                <w:highlight w:val="none"/>
              </w:rPr>
            </w:pPr>
          </w:p>
        </w:tc>
        <w:tc>
          <w:tcPr>
            <w:tcW w:w="2857" w:type="pct"/>
          </w:tcPr>
          <w:p w14:paraId="0ED951D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供应商自行填写种类，并上传证明附件以便评审查看</w:t>
            </w:r>
          </w:p>
        </w:tc>
      </w:tr>
      <w:tr w14:paraId="7BCE5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vMerge w:val="continue"/>
          </w:tcPr>
          <w:p w14:paraId="22FA5CB3">
            <w:pPr>
              <w:autoSpaceDE w:val="0"/>
              <w:autoSpaceDN w:val="0"/>
              <w:jc w:val="left"/>
              <w:rPr>
                <w:rFonts w:ascii="宋体" w:hAnsi="宋体" w:eastAsia="宋体" w:cs="宋体"/>
                <w:kern w:val="0"/>
                <w:sz w:val="22"/>
                <w:szCs w:val="22"/>
                <w:highlight w:val="none"/>
              </w:rPr>
            </w:pPr>
          </w:p>
        </w:tc>
        <w:tc>
          <w:tcPr>
            <w:tcW w:w="714" w:type="pct"/>
          </w:tcPr>
          <w:p w14:paraId="3932AA5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614E0D7C">
            <w:pPr>
              <w:jc w:val="left"/>
              <w:rPr>
                <w:rFonts w:hint="eastAsia" w:ascii="Calibri" w:hAnsi="Calibri" w:eastAsia="宋体" w:cs="Times New Roman"/>
                <w:highlight w:val="none"/>
                <w:lang w:val="en-US" w:eastAsia="zh-Hans"/>
              </w:rPr>
            </w:pPr>
          </w:p>
        </w:tc>
        <w:tc>
          <w:tcPr>
            <w:tcW w:w="714" w:type="pct"/>
          </w:tcPr>
          <w:p w14:paraId="1FFD1241">
            <w:pPr>
              <w:autoSpaceDE w:val="0"/>
              <w:autoSpaceDN w:val="0"/>
              <w:jc w:val="left"/>
              <w:rPr>
                <w:rFonts w:ascii="宋体" w:hAnsi="宋体" w:eastAsia="宋体" w:cs="宋体"/>
                <w:kern w:val="0"/>
                <w:sz w:val="22"/>
                <w:szCs w:val="22"/>
                <w:highlight w:val="none"/>
              </w:rPr>
            </w:pPr>
          </w:p>
        </w:tc>
        <w:tc>
          <w:tcPr>
            <w:tcW w:w="2857" w:type="pct"/>
          </w:tcPr>
          <w:p w14:paraId="1B12A9EF">
            <w:pPr>
              <w:autoSpaceDE w:val="0"/>
              <w:autoSpaceDN w:val="0"/>
              <w:jc w:val="left"/>
              <w:rPr>
                <w:rFonts w:ascii="宋体" w:hAnsi="宋体" w:eastAsia="宋体" w:cs="宋体"/>
                <w:kern w:val="0"/>
                <w:sz w:val="22"/>
                <w:szCs w:val="22"/>
                <w:highlight w:val="none"/>
              </w:rPr>
            </w:pPr>
          </w:p>
        </w:tc>
      </w:tr>
      <w:tr w14:paraId="64A4B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5E3CB5F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w:t>
            </w:r>
          </w:p>
        </w:tc>
        <w:tc>
          <w:tcPr>
            <w:tcW w:w="4286" w:type="pct"/>
            <w:gridSpan w:val="3"/>
          </w:tcPr>
          <w:p w14:paraId="1093F692">
            <w:pPr>
              <w:jc w:val="left"/>
              <w:rPr>
                <w:rFonts w:hint="eastAsia" w:ascii="Calibri" w:hAnsi="Calibri" w:eastAsia="宋体" w:cs="Times New Roman"/>
                <w:highlight w:val="none"/>
                <w:lang w:val="en-US" w:eastAsia="zh-Hans"/>
              </w:rPr>
            </w:pPr>
          </w:p>
        </w:tc>
      </w:tr>
    </w:tbl>
    <w:p w14:paraId="2084A964">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79BD651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1、对节能、环境标志产品计算价格扣除时，只依据电子投标（响应）文件“投标（响应）报价明细表”以及“优先类节能产品、环境标志产品证明材料（价格扣除适用，若有）。</w:t>
      </w:r>
    </w:p>
    <w:p w14:paraId="604D594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2、本表以采购包为单位，不同采购包请分别填写；同一采购包请按照其品目号顺序分别填写。</w:t>
      </w:r>
    </w:p>
    <w:p w14:paraId="724C926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3、具体统计、计算：</w:t>
      </w:r>
    </w:p>
    <w:p w14:paraId="2BBC8E7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3.1若同一采购包内的单个或多个货物取得或同时取得节能、环境标志产品等两项或多项认证的，均按照单个货物对应一项认证的原则统计、计算1次。</w:t>
      </w:r>
    </w:p>
    <w:p w14:paraId="7F26EA88">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3.2计算结果若除不尽，可四舍五入保留到小数点后两位。</w:t>
      </w:r>
    </w:p>
    <w:p w14:paraId="0BFA475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3.3投标人</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供应商</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按照采购文件要求认真统计、计算。</w:t>
      </w:r>
    </w:p>
    <w:p w14:paraId="650F000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3.4若无节能、环境标志产品，不填写本表。</w:t>
      </w:r>
    </w:p>
    <w:p w14:paraId="32FF4EC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3.5强制类节能产品不享受价格扣除。</w:t>
      </w:r>
    </w:p>
    <w:p w14:paraId="6E1119EA">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04EB32D4">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6C72242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12984C7E">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三-1-②优先类节能产品、环境标志产品证明材料（价格扣除适用，若有）</w:t>
      </w:r>
    </w:p>
    <w:p w14:paraId="4EC53C13">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三-2小型、微型企业产品等价格扣除证明材料（若有）</w:t>
      </w:r>
    </w:p>
    <w:p w14:paraId="530C0B6B">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三-2-①中小企业声明函（价格扣除适用，若有）</w:t>
      </w:r>
    </w:p>
    <w:p w14:paraId="3EAAF3F3">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中小企业声明函（货物）</w:t>
      </w:r>
    </w:p>
    <w:p w14:paraId="353AC62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本公司（联合体）郑重声明，根据《政府采购促进中小企业发展管理办法》（财库﹝2020﹞46 号）的规定，本公司（联合体）参加</w:t>
      </w:r>
      <w:r>
        <w:rPr>
          <w:rFonts w:hint="eastAsia" w:ascii="仿宋_GB2312" w:hAnsi="仿宋_GB2312" w:eastAsia="仿宋_GB2312" w:cs="仿宋_GB2312"/>
          <w:highlight w:val="none"/>
          <w:u w:val="single"/>
          <w:lang w:val="en-US" w:eastAsia="zh-Hans"/>
        </w:rPr>
        <w:t>（单位名称）</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u w:val="single"/>
          <w:lang w:val="en-US" w:eastAsia="zh-Hans"/>
        </w:rPr>
        <w:t>（项目名称）</w:t>
      </w:r>
      <w:r>
        <w:rPr>
          <w:rFonts w:hint="eastAsia" w:ascii="仿宋_GB2312" w:hAnsi="仿宋_GB2312" w:eastAsia="仿宋_GB2312" w:cs="仿宋_GB2312"/>
          <w:highlight w:val="none"/>
          <w:lang w:val="en-US" w:eastAsia="zh-Hans"/>
        </w:rPr>
        <w:t>采购活动，提供的货物全部由符合政策要求的中小企业制造。相关企业（含联合体中的中小企业、签订分包意向协议的中小企业）的具体情况如下：</w:t>
      </w:r>
    </w:p>
    <w:p w14:paraId="3920DBC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r>
        <w:rPr>
          <w:rFonts w:hint="eastAsia" w:ascii="仿宋_GB2312" w:hAnsi="仿宋_GB2312" w:eastAsia="仿宋_GB2312" w:cs="仿宋_GB2312"/>
          <w:highlight w:val="none"/>
          <w:u w:val="single"/>
          <w:lang w:val="en-US" w:eastAsia="zh-Hans"/>
        </w:rPr>
        <w:t xml:space="preserve"> （标的名称） </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行业；制造商为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w:t>
      </w:r>
      <w:r>
        <w:rPr>
          <w:rFonts w:hint="eastAsia" w:ascii="仿宋_GB2312" w:hAnsi="仿宋_GB2312" w:eastAsia="仿宋_GB2312" w:cs="仿宋_GB2312"/>
          <w:sz w:val="21"/>
          <w:highlight w:val="none"/>
          <w:vertAlign w:val="superscript"/>
          <w:lang w:val="en-US" w:eastAsia="zh-Hans"/>
        </w:rPr>
        <w:t>1</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37366B4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r>
        <w:rPr>
          <w:rFonts w:hint="eastAsia" w:ascii="仿宋_GB2312" w:hAnsi="仿宋_GB2312" w:eastAsia="仿宋_GB2312" w:cs="仿宋_GB2312"/>
          <w:highlight w:val="none"/>
          <w:u w:val="single"/>
          <w:lang w:val="en-US" w:eastAsia="zh-Hans"/>
        </w:rPr>
        <w:t xml:space="preserve"> （标的名称） </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行业；制造商为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3DA415E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32D4B57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以上企业，不属于大企业的分支机构，不存在控股股东为大企业的情形，也不存在与大企业的负责人为同一人的情形。</w:t>
      </w:r>
    </w:p>
    <w:p w14:paraId="5E8433E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本企业对上述声明内容的真实性负责。如有虚假，将依法承担相应责任。</w:t>
      </w:r>
    </w:p>
    <w:p w14:paraId="7AA34CB5">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77CFDB5C">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3E9DDB1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0103EE5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1、从业人员、营业收入、资产总额填报上一年度数据，无上一年度数据的新成立企业可不填报。</w:t>
      </w:r>
    </w:p>
    <w:p w14:paraId="33BA253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B736F4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C426EF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21BF1CC1">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中小企业声明函（工程、服务）</w:t>
      </w:r>
    </w:p>
    <w:p w14:paraId="412E57E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本公司（联合体）郑重声明，根据《政府采购促进中小企业发展管理办法》（财库﹝2020﹞46 号）的规定，本公司（联合体）参加</w:t>
      </w:r>
      <w:r>
        <w:rPr>
          <w:rFonts w:hint="eastAsia" w:ascii="仿宋_GB2312" w:hAnsi="仿宋_GB2312" w:eastAsia="仿宋_GB2312" w:cs="仿宋_GB2312"/>
          <w:highlight w:val="none"/>
          <w:u w:val="single"/>
          <w:lang w:val="en-US" w:eastAsia="zh-Hans"/>
        </w:rPr>
        <w:t>（单位名称）</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u w:val="single"/>
          <w:lang w:val="en-US" w:eastAsia="zh-Hans"/>
        </w:rPr>
        <w:t>（项目名称）</w:t>
      </w:r>
      <w:r>
        <w:rPr>
          <w:rFonts w:hint="eastAsia" w:ascii="仿宋_GB2312" w:hAnsi="仿宋_GB2312" w:eastAsia="仿宋_GB2312" w:cs="仿宋_GB2312"/>
          <w:highlight w:val="none"/>
          <w:lang w:val="en-US" w:eastAsia="zh-Hans"/>
        </w:rPr>
        <w:t>采购活动，工程的施工单位全部为符合政策要求的中小企业（或者：服务全部由符合政策要求的中小企业承接）。相关企业（含联合体中的中小企业、签订分包意向协议的中小企业）的具体情况如下：</w:t>
      </w:r>
    </w:p>
    <w:p w14:paraId="0D0E0CD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r>
        <w:rPr>
          <w:rFonts w:hint="eastAsia" w:ascii="仿宋_GB2312" w:hAnsi="仿宋_GB2312" w:eastAsia="仿宋_GB2312" w:cs="仿宋_GB2312"/>
          <w:highlight w:val="none"/>
          <w:u w:val="single"/>
          <w:lang w:val="en-US" w:eastAsia="zh-Hans"/>
        </w:rPr>
        <w:t>（标的名称）</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；承建（承接）企业为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w:t>
      </w:r>
      <w:r>
        <w:rPr>
          <w:rFonts w:hint="eastAsia" w:ascii="仿宋_GB2312" w:hAnsi="仿宋_GB2312" w:eastAsia="仿宋_GB2312" w:cs="仿宋_GB2312"/>
          <w:sz w:val="21"/>
          <w:highlight w:val="none"/>
          <w:vertAlign w:val="superscript"/>
          <w:lang w:val="en-US" w:eastAsia="zh-Hans"/>
        </w:rPr>
        <w:t>1</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7422C32C">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w:t>
      </w:r>
      <w:r>
        <w:rPr>
          <w:rFonts w:hint="eastAsia" w:ascii="仿宋_GB2312" w:hAnsi="仿宋_GB2312" w:eastAsia="仿宋_GB2312" w:cs="仿宋_GB2312"/>
          <w:highlight w:val="none"/>
          <w:u w:val="single"/>
          <w:lang w:val="en-US" w:eastAsia="zh-Hans"/>
        </w:rPr>
        <w:t>（标的名称）</w:t>
      </w:r>
      <w:r>
        <w:rPr>
          <w:rFonts w:hint="eastAsia" w:ascii="仿宋_GB2312" w:hAnsi="仿宋_GB2312" w:eastAsia="仿宋_GB2312" w:cs="仿宋_GB2312"/>
          <w:highlight w:val="none"/>
          <w:lang w:val="en-US" w:eastAsia="zh-Hans"/>
        </w:rPr>
        <w:t>，属于</w:t>
      </w:r>
      <w:r>
        <w:rPr>
          <w:rFonts w:hint="eastAsia" w:ascii="仿宋_GB2312" w:hAnsi="仿宋_GB2312" w:eastAsia="仿宋_GB2312" w:cs="仿宋_GB2312"/>
          <w:highlight w:val="none"/>
          <w:u w:val="single"/>
          <w:lang w:val="en-US" w:eastAsia="zh-Hans"/>
        </w:rPr>
        <w:t>（采购文件中明确的所属行业）</w:t>
      </w:r>
      <w:r>
        <w:rPr>
          <w:rFonts w:hint="eastAsia" w:ascii="仿宋_GB2312" w:hAnsi="仿宋_GB2312" w:eastAsia="仿宋_GB2312" w:cs="仿宋_GB2312"/>
          <w:highlight w:val="none"/>
          <w:lang w:val="en-US" w:eastAsia="zh-Hans"/>
        </w:rPr>
        <w:t>；承建（承接）企业为</w:t>
      </w:r>
      <w:r>
        <w:rPr>
          <w:rFonts w:hint="eastAsia" w:ascii="仿宋_GB2312" w:hAnsi="仿宋_GB2312" w:eastAsia="仿宋_GB2312" w:cs="仿宋_GB2312"/>
          <w:highlight w:val="none"/>
          <w:u w:val="single"/>
          <w:lang w:val="en-US" w:eastAsia="zh-Hans"/>
        </w:rPr>
        <w:t>（企业名称）</w:t>
      </w:r>
      <w:r>
        <w:rPr>
          <w:rFonts w:hint="eastAsia" w:ascii="仿宋_GB2312" w:hAnsi="仿宋_GB2312" w:eastAsia="仿宋_GB2312" w:cs="仿宋_GB2312"/>
          <w:highlight w:val="none"/>
          <w:lang w:val="en-US" w:eastAsia="zh-Hans"/>
        </w:rPr>
        <w:t>，从业人员</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人，营业收入为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万元，资产总额为</w:t>
      </w:r>
      <w:r>
        <w:rPr>
          <w:rFonts w:hint="eastAsia" w:ascii="仿宋_GB2312" w:hAnsi="仿宋_GB2312" w:eastAsia="仿宋_GB2312" w:cs="仿宋_GB2312"/>
          <w:highlight w:val="none"/>
          <w:u w:val="single"/>
          <w:lang w:val="en-US" w:eastAsia="zh-Hans"/>
        </w:rPr>
        <w:t>　　　　　</w:t>
      </w:r>
      <w:r>
        <w:rPr>
          <w:rFonts w:hint="eastAsia" w:ascii="仿宋_GB2312" w:hAnsi="仿宋_GB2312" w:eastAsia="仿宋_GB2312" w:cs="仿宋_GB2312"/>
          <w:highlight w:val="none"/>
          <w:lang w:val="en-US" w:eastAsia="zh-Hans"/>
        </w:rPr>
        <w:t>万元，属于</w:t>
      </w:r>
      <w:r>
        <w:rPr>
          <w:rFonts w:hint="eastAsia" w:ascii="仿宋_GB2312" w:hAnsi="仿宋_GB2312" w:eastAsia="仿宋_GB2312" w:cs="仿宋_GB2312"/>
          <w:highlight w:val="none"/>
          <w:u w:val="single"/>
          <w:lang w:val="en-US" w:eastAsia="zh-Hans"/>
        </w:rPr>
        <w:t>（中型企业、小型企业、微型企业）</w:t>
      </w:r>
      <w:r>
        <w:rPr>
          <w:rFonts w:hint="eastAsia" w:ascii="仿宋_GB2312" w:hAnsi="仿宋_GB2312" w:eastAsia="仿宋_GB2312" w:cs="仿宋_GB2312"/>
          <w:highlight w:val="none"/>
          <w:lang w:val="en-US" w:eastAsia="zh-Hans"/>
        </w:rPr>
        <w:t>；</w:t>
      </w:r>
    </w:p>
    <w:p w14:paraId="20FC999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p w14:paraId="55F8B31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以上企业，不属于大企业的分支机构，不存在控股股东为大企业的情形，也不存在与大企业的负责人为同一人的情形。</w:t>
      </w:r>
    </w:p>
    <w:p w14:paraId="3C6E072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本企业对上述声明内容的真实性负责。如有虚假，将依法承担相应责任。</w:t>
      </w:r>
    </w:p>
    <w:p w14:paraId="1E0B59E4">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6C5A16E5">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7A04AB7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3F0F7DE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1、从业人员、营业收入、资产总额填报上一年度数据，无上一年度数据的新成立企业可不填报。</w:t>
      </w:r>
    </w:p>
    <w:p w14:paraId="7B4D4E5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15BBB4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7D16EA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43C35D18">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三-2-②小型、微型企业等证明材料（价格扣除适用，若有）</w:t>
      </w:r>
    </w:p>
    <w:p w14:paraId="635068F2">
      <w:pPr>
        <w:ind w:firstLine="480"/>
        <w:jc w:val="cente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编制说明</w:t>
      </w:r>
    </w:p>
    <w:p w14:paraId="2CA5E98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1、投标人为监狱企业的，根据其提供的由省级以上监狱管理局、戒毒管理局（含新疆生产建设兵团）出具的属于监狱企业的证明文件进行认定，监狱企业视同小型、微型企业。</w:t>
      </w:r>
    </w:p>
    <w:p w14:paraId="61A5A5F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2、投标人为残疾人福利性单位的，根据其提供的《残疾人福利性单位声明函》（格式附后）进行认定，残疾人福利性单位视同小型、微型企业。残疾人福利性单位属于小型、微型企业的，不重复享受政策。</w:t>
      </w:r>
    </w:p>
    <w:p w14:paraId="256B755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附：</w:t>
      </w:r>
    </w:p>
    <w:p w14:paraId="0BF1443E">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残疾人福利性单位声明函（价格扣除适用，若有）</w:t>
      </w:r>
    </w:p>
    <w:p w14:paraId="5900085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27B428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1982F3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）由本投标人承建的（填写“所投采购包、品目号”）工程</w:t>
      </w:r>
    </w:p>
    <w:p w14:paraId="1A07497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）由本投标人承接的（填写“所投采购包、品目号”）服务；</w:t>
      </w:r>
    </w:p>
    <w:p w14:paraId="015E201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本投标人对上述声明的真实性负责。如有虚假，将依法承担相应责任。</w:t>
      </w:r>
    </w:p>
    <w:p w14:paraId="6F0CAD7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w:t>
      </w:r>
    </w:p>
    <w:p w14:paraId="1347723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1、请投标人按照实际情况编制填写本声明函，并在相应的（）中打“√”。</w:t>
      </w:r>
    </w:p>
    <w:p w14:paraId="79E84D3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2、若《残疾人福利性单位声明函》内容不真实，视为提供虚假材料。</w:t>
      </w:r>
    </w:p>
    <w:p w14:paraId="25DCDB1D">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2B15FC50">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53F4A21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6401DA0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附：</w:t>
      </w:r>
    </w:p>
    <w:p w14:paraId="552B0E39">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监狱企业证明材料</w:t>
      </w:r>
    </w:p>
    <w:p w14:paraId="10271A2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投标人为监狱企业，提供本单位制造的货物（承接的服务），并在电子投标文件中提供省级以上监狱管理局、戒毒管理局（含新疆生产建设兵团）出具的属于监狱企业的证明文件。</w:t>
      </w:r>
    </w:p>
    <w:p w14:paraId="0F64606A">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7EE9C640">
      <w:pPr>
        <w:jc w:val="center"/>
        <w:outlineLvl w:val="3"/>
        <w:rPr>
          <w:rFonts w:hint="eastAsia" w:ascii="Calibri" w:hAnsi="Calibri" w:eastAsia="宋体" w:cs="Times New Roman"/>
          <w:highlight w:val="none"/>
          <w:lang w:val="en-US" w:eastAsia="zh-Hans"/>
        </w:rPr>
      </w:pPr>
      <w:r>
        <w:rPr>
          <w:rFonts w:hint="eastAsia" w:ascii="仿宋_GB2312" w:hAnsi="仿宋_GB2312" w:eastAsia="仿宋_GB2312" w:cs="仿宋_GB2312"/>
          <w:b/>
          <w:sz w:val="24"/>
          <w:highlight w:val="none"/>
          <w:lang w:val="en-US" w:eastAsia="zh-Hans"/>
        </w:rPr>
        <w:t>三-3招标文件规定的其他价格扣除证明材料（若有）</w:t>
      </w:r>
    </w:p>
    <w:p w14:paraId="65C65171">
      <w:pPr>
        <w:ind w:firstLine="480"/>
        <w:jc w:val="cente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编制说明</w:t>
      </w:r>
    </w:p>
    <w:p w14:paraId="542C318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若投标人可享受招标文件规定的除“节能（非强制类）、环境标志产品价格扣除”及“小型、微型企业产品等价格扣除”外的其他价格扣除优惠，则投标人应按照招标文件要求提供相应证明材料。</w:t>
      </w:r>
    </w:p>
    <w:p w14:paraId="4034ED93">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41DF972E">
      <w:pPr>
        <w:jc w:val="center"/>
        <w:outlineLvl w:val="2"/>
        <w:rPr>
          <w:rFonts w:hint="eastAsia" w:ascii="Calibri" w:hAnsi="Calibri" w:eastAsia="仿宋_GB2312" w:cs="Times New Roman"/>
          <w:highlight w:val="none"/>
          <w:lang w:val="en-US" w:eastAsia="zh-CN"/>
        </w:rPr>
      </w:pPr>
      <w:r>
        <w:rPr>
          <w:rFonts w:hint="eastAsia" w:ascii="仿宋_GB2312" w:hAnsi="仿宋_GB2312" w:eastAsia="仿宋_GB2312" w:cs="仿宋_GB2312"/>
          <w:b/>
          <w:sz w:val="28"/>
          <w:highlight w:val="none"/>
          <w:lang w:val="en-US" w:eastAsia="zh-Hans"/>
        </w:rPr>
        <w:t>封面格式</w:t>
      </w:r>
      <w:r>
        <w:rPr>
          <w:rFonts w:hint="eastAsia" w:ascii="仿宋_GB2312" w:hAnsi="仿宋_GB2312" w:eastAsia="仿宋_GB2312" w:cs="仿宋_GB2312"/>
          <w:b/>
          <w:sz w:val="28"/>
          <w:highlight w:val="none"/>
          <w:lang w:val="en-US" w:eastAsia="zh-CN"/>
        </w:rPr>
        <w:t>（</w:t>
      </w:r>
      <w:r>
        <w:rPr>
          <w:rFonts w:hint="eastAsia" w:ascii="仿宋_GB2312" w:hAnsi="仿宋_GB2312" w:eastAsia="仿宋_GB2312" w:cs="仿宋_GB2312"/>
          <w:b/>
          <w:sz w:val="28"/>
          <w:highlight w:val="none"/>
          <w:lang w:val="en-US" w:eastAsia="zh-Hans"/>
        </w:rPr>
        <w:t>技术商务部分</w:t>
      </w:r>
      <w:r>
        <w:rPr>
          <w:rFonts w:hint="eastAsia" w:ascii="仿宋_GB2312" w:hAnsi="仿宋_GB2312" w:eastAsia="仿宋_GB2312" w:cs="仿宋_GB2312"/>
          <w:b/>
          <w:sz w:val="28"/>
          <w:highlight w:val="none"/>
          <w:lang w:val="en-US" w:eastAsia="zh-CN"/>
        </w:rPr>
        <w:t>）</w:t>
      </w:r>
    </w:p>
    <w:p w14:paraId="28AE817D">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福建省政府采购投标文件</w:t>
      </w:r>
    </w:p>
    <w:p w14:paraId="15964839">
      <w:pPr>
        <w:jc w:val="center"/>
        <w:outlineLvl w:val="0"/>
        <w:rPr>
          <w:rFonts w:hint="eastAsia" w:ascii="Calibri" w:hAnsi="Calibri" w:eastAsia="宋体" w:cs="Times New Roman"/>
          <w:highlight w:val="none"/>
          <w:lang w:val="en-US" w:eastAsia="zh-Hans"/>
        </w:rPr>
      </w:pPr>
      <w:r>
        <w:rPr>
          <w:rFonts w:hint="eastAsia" w:ascii="仿宋_GB2312" w:hAnsi="仿宋_GB2312" w:eastAsia="仿宋_GB2312" w:cs="仿宋_GB2312"/>
          <w:b/>
          <w:sz w:val="48"/>
          <w:highlight w:val="none"/>
          <w:lang w:val="en-US" w:eastAsia="zh-Hans"/>
        </w:rPr>
        <w:t>（技术商务部分）</w:t>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p>
    <w:p w14:paraId="4D3E2ADF">
      <w:pPr>
        <w:jc w:val="center"/>
        <w:outlineLvl w:val="1"/>
        <w:rPr>
          <w:rFonts w:hint="eastAsia" w:ascii="Calibri" w:hAnsi="Calibri" w:eastAsia="宋体" w:cs="Times New Roman"/>
          <w:highlight w:val="none"/>
          <w:lang w:val="en-US" w:eastAsia="zh-Hans"/>
        </w:rPr>
      </w:pPr>
      <w:r>
        <w:rPr>
          <w:rFonts w:hint="eastAsia" w:ascii="仿宋_GB2312" w:hAnsi="仿宋_GB2312" w:eastAsia="仿宋_GB2312" w:cs="仿宋_GB2312"/>
          <w:b/>
          <w:sz w:val="36"/>
          <w:highlight w:val="none"/>
          <w:lang w:val="en-US" w:eastAsia="zh-Hans"/>
        </w:rPr>
        <w:t>（填写正本或副本）</w:t>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r>
        <w:rPr>
          <w:rFonts w:hint="eastAsia" w:ascii="Calibri" w:hAnsi="Calibri" w:eastAsia="宋体" w:cs="Times New Roman"/>
          <w:highlight w:val="none"/>
          <w:lang w:val="en-US" w:eastAsia="zh-Hans"/>
        </w:rPr>
        <w:br w:type="textWrapping"/>
      </w:r>
    </w:p>
    <w:p w14:paraId="11DF7D78">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项目名称：（由投标人填写）</w:t>
      </w:r>
    </w:p>
    <w:p w14:paraId="1E7643BB">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备案编号：（由投标人填写）</w:t>
      </w:r>
    </w:p>
    <w:p w14:paraId="29DF7DD5">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项目编号：（由投标人填写）</w:t>
      </w:r>
    </w:p>
    <w:p w14:paraId="4E7B1F7F">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所投采购包：（由投标人填写）</w:t>
      </w:r>
    </w:p>
    <w:p w14:paraId="680B0344">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投标人：（填写“全称”）</w:t>
      </w:r>
    </w:p>
    <w:p w14:paraId="6EF48DB9">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（由投标人填写）年（由投标人填写）月</w:t>
      </w:r>
    </w:p>
    <w:p w14:paraId="3005E300">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2872DAE9">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索引</w:t>
      </w:r>
    </w:p>
    <w:p w14:paraId="56330DB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一、标的说明一览表</w:t>
      </w:r>
    </w:p>
    <w:p w14:paraId="3EF6803B">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二、技术和服务要求响应表</w:t>
      </w:r>
    </w:p>
    <w:p w14:paraId="5F92409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三、商务条件响应表</w:t>
      </w:r>
    </w:p>
    <w:p w14:paraId="220FC2B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四、投标人提交的其他资料（若有）</w:t>
      </w:r>
    </w:p>
    <w:p w14:paraId="08EEDFB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1C8E78E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技术商务部分中不得出现报价部分的全部或部分的投标报价信息（或组成资料），否则符合性审查不合格。</w:t>
      </w:r>
    </w:p>
    <w:p w14:paraId="76EEEC4B">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4BC7C4C6">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一、标的说明一览表</w:t>
      </w:r>
    </w:p>
    <w:p w14:paraId="64FB300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项目编号：</w:t>
      </w:r>
      <w:r>
        <w:rPr>
          <w:rFonts w:hint="eastAsia" w:ascii="仿宋_GB2312" w:hAnsi="仿宋_GB2312" w:eastAsia="仿宋_GB2312" w:cs="仿宋_GB2312"/>
          <w:highlight w:val="none"/>
          <w:u w:val="single"/>
          <w:lang w:val="en-US" w:eastAsia="zh-Hans"/>
        </w:rPr>
        <w:t>　　　　　　　　</w:t>
      </w:r>
    </w:p>
    <w:tbl>
      <w:tblPr>
        <w:tblStyle w:val="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1222"/>
        <w:gridCol w:w="1222"/>
        <w:gridCol w:w="1222"/>
        <w:gridCol w:w="1222"/>
        <w:gridCol w:w="1222"/>
        <w:gridCol w:w="1188"/>
      </w:tblGrid>
      <w:tr w14:paraId="5129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tcPr>
          <w:p w14:paraId="7E664B3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w:t>
            </w:r>
          </w:p>
        </w:tc>
        <w:tc>
          <w:tcPr>
            <w:tcW w:w="717" w:type="pct"/>
          </w:tcPr>
          <w:p w14:paraId="0E1B9AB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品目号</w:t>
            </w:r>
          </w:p>
        </w:tc>
        <w:tc>
          <w:tcPr>
            <w:tcW w:w="717" w:type="pct"/>
          </w:tcPr>
          <w:p w14:paraId="5FA4F7A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投标标的</w:t>
            </w:r>
          </w:p>
        </w:tc>
        <w:tc>
          <w:tcPr>
            <w:tcW w:w="717" w:type="pct"/>
          </w:tcPr>
          <w:p w14:paraId="50C643E9">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数量</w:t>
            </w:r>
          </w:p>
        </w:tc>
        <w:tc>
          <w:tcPr>
            <w:tcW w:w="717" w:type="pct"/>
          </w:tcPr>
          <w:p w14:paraId="73F89B7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规格</w:t>
            </w:r>
          </w:p>
        </w:tc>
        <w:tc>
          <w:tcPr>
            <w:tcW w:w="717" w:type="pct"/>
          </w:tcPr>
          <w:p w14:paraId="71BC1B81">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来源地</w:t>
            </w:r>
          </w:p>
        </w:tc>
        <w:tc>
          <w:tcPr>
            <w:tcW w:w="697" w:type="pct"/>
          </w:tcPr>
          <w:p w14:paraId="1DE7B16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备注</w:t>
            </w:r>
          </w:p>
        </w:tc>
      </w:tr>
      <w:tr w14:paraId="7640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97" w:type="pct"/>
        </w:trPr>
        <w:tc>
          <w:tcPr>
            <w:tcW w:w="717" w:type="pct"/>
            <w:vMerge w:val="restart"/>
          </w:tcPr>
          <w:p w14:paraId="502E76FF">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717" w:type="pct"/>
          </w:tcPr>
          <w:p w14:paraId="6483EFE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717" w:type="pct"/>
          </w:tcPr>
          <w:p w14:paraId="338E4765">
            <w:pPr>
              <w:autoSpaceDE w:val="0"/>
              <w:autoSpaceDN w:val="0"/>
              <w:jc w:val="left"/>
              <w:rPr>
                <w:rFonts w:ascii="宋体" w:hAnsi="宋体" w:eastAsia="宋体" w:cs="宋体"/>
                <w:kern w:val="0"/>
                <w:sz w:val="22"/>
                <w:szCs w:val="22"/>
                <w:highlight w:val="none"/>
              </w:rPr>
            </w:pPr>
          </w:p>
        </w:tc>
        <w:tc>
          <w:tcPr>
            <w:tcW w:w="717" w:type="pct"/>
          </w:tcPr>
          <w:p w14:paraId="5C7152CA">
            <w:pPr>
              <w:autoSpaceDE w:val="0"/>
              <w:autoSpaceDN w:val="0"/>
              <w:jc w:val="left"/>
              <w:rPr>
                <w:rFonts w:ascii="宋体" w:hAnsi="宋体" w:eastAsia="宋体" w:cs="宋体"/>
                <w:kern w:val="0"/>
                <w:sz w:val="22"/>
                <w:szCs w:val="22"/>
                <w:highlight w:val="none"/>
              </w:rPr>
            </w:pPr>
          </w:p>
        </w:tc>
        <w:tc>
          <w:tcPr>
            <w:tcW w:w="717" w:type="pct"/>
          </w:tcPr>
          <w:p w14:paraId="660C0BC8">
            <w:pPr>
              <w:autoSpaceDE w:val="0"/>
              <w:autoSpaceDN w:val="0"/>
              <w:jc w:val="left"/>
              <w:rPr>
                <w:rFonts w:ascii="宋体" w:hAnsi="宋体" w:eastAsia="宋体" w:cs="宋体"/>
                <w:kern w:val="0"/>
                <w:sz w:val="22"/>
                <w:szCs w:val="22"/>
                <w:highlight w:val="none"/>
              </w:rPr>
            </w:pPr>
          </w:p>
        </w:tc>
        <w:tc>
          <w:tcPr>
            <w:tcW w:w="717" w:type="pct"/>
          </w:tcPr>
          <w:p w14:paraId="28DC3359">
            <w:pPr>
              <w:autoSpaceDE w:val="0"/>
              <w:autoSpaceDN w:val="0"/>
              <w:jc w:val="left"/>
              <w:rPr>
                <w:rFonts w:ascii="宋体" w:hAnsi="宋体" w:eastAsia="宋体" w:cs="宋体"/>
                <w:kern w:val="0"/>
                <w:sz w:val="22"/>
                <w:szCs w:val="22"/>
                <w:highlight w:val="none"/>
              </w:rPr>
            </w:pPr>
          </w:p>
        </w:tc>
      </w:tr>
      <w:tr w14:paraId="4541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97" w:type="pct"/>
        </w:trPr>
        <w:tc>
          <w:tcPr>
            <w:tcW w:w="717" w:type="pct"/>
            <w:vMerge w:val="continue"/>
          </w:tcPr>
          <w:p w14:paraId="172309BB">
            <w:pPr>
              <w:autoSpaceDE w:val="0"/>
              <w:autoSpaceDN w:val="0"/>
              <w:jc w:val="left"/>
              <w:rPr>
                <w:rFonts w:ascii="宋体" w:hAnsi="宋体" w:eastAsia="宋体" w:cs="宋体"/>
                <w:kern w:val="0"/>
                <w:sz w:val="22"/>
                <w:szCs w:val="22"/>
                <w:highlight w:val="none"/>
              </w:rPr>
            </w:pPr>
          </w:p>
        </w:tc>
        <w:tc>
          <w:tcPr>
            <w:tcW w:w="717" w:type="pct"/>
          </w:tcPr>
          <w:p w14:paraId="33002AD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717" w:type="pct"/>
          </w:tcPr>
          <w:p w14:paraId="2C9F9179">
            <w:pPr>
              <w:autoSpaceDE w:val="0"/>
              <w:autoSpaceDN w:val="0"/>
              <w:jc w:val="left"/>
              <w:rPr>
                <w:rFonts w:ascii="宋体" w:hAnsi="宋体" w:eastAsia="宋体" w:cs="宋体"/>
                <w:kern w:val="0"/>
                <w:sz w:val="22"/>
                <w:szCs w:val="22"/>
                <w:highlight w:val="none"/>
              </w:rPr>
            </w:pPr>
          </w:p>
        </w:tc>
        <w:tc>
          <w:tcPr>
            <w:tcW w:w="717" w:type="pct"/>
          </w:tcPr>
          <w:p w14:paraId="1F830BAA">
            <w:pPr>
              <w:autoSpaceDE w:val="0"/>
              <w:autoSpaceDN w:val="0"/>
              <w:jc w:val="left"/>
              <w:rPr>
                <w:rFonts w:ascii="宋体" w:hAnsi="宋体" w:eastAsia="宋体" w:cs="宋体"/>
                <w:kern w:val="0"/>
                <w:sz w:val="22"/>
                <w:szCs w:val="22"/>
                <w:highlight w:val="none"/>
              </w:rPr>
            </w:pPr>
          </w:p>
        </w:tc>
        <w:tc>
          <w:tcPr>
            <w:tcW w:w="717" w:type="pct"/>
          </w:tcPr>
          <w:p w14:paraId="2441E9FE">
            <w:pPr>
              <w:autoSpaceDE w:val="0"/>
              <w:autoSpaceDN w:val="0"/>
              <w:jc w:val="left"/>
              <w:rPr>
                <w:rFonts w:ascii="宋体" w:hAnsi="宋体" w:eastAsia="宋体" w:cs="宋体"/>
                <w:kern w:val="0"/>
                <w:sz w:val="22"/>
                <w:szCs w:val="22"/>
                <w:highlight w:val="none"/>
              </w:rPr>
            </w:pPr>
          </w:p>
        </w:tc>
        <w:tc>
          <w:tcPr>
            <w:tcW w:w="717" w:type="pct"/>
          </w:tcPr>
          <w:p w14:paraId="4DCAD126">
            <w:pPr>
              <w:autoSpaceDE w:val="0"/>
              <w:autoSpaceDN w:val="0"/>
              <w:jc w:val="left"/>
              <w:rPr>
                <w:rFonts w:ascii="宋体" w:hAnsi="宋体" w:eastAsia="宋体" w:cs="宋体"/>
                <w:kern w:val="0"/>
                <w:sz w:val="22"/>
                <w:szCs w:val="22"/>
                <w:highlight w:val="none"/>
              </w:rPr>
            </w:pPr>
          </w:p>
        </w:tc>
      </w:tr>
      <w:tr w14:paraId="43E4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97" w:type="pct"/>
        </w:trPr>
        <w:tc>
          <w:tcPr>
            <w:tcW w:w="717" w:type="pct"/>
          </w:tcPr>
          <w:p w14:paraId="5CF8737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717" w:type="pct"/>
          </w:tcPr>
          <w:p w14:paraId="1FEE2C1E">
            <w:pPr>
              <w:autoSpaceDE w:val="0"/>
              <w:autoSpaceDN w:val="0"/>
              <w:jc w:val="left"/>
              <w:rPr>
                <w:rFonts w:ascii="宋体" w:hAnsi="宋体" w:eastAsia="宋体" w:cs="宋体"/>
                <w:kern w:val="0"/>
                <w:sz w:val="22"/>
                <w:szCs w:val="22"/>
                <w:highlight w:val="none"/>
              </w:rPr>
            </w:pPr>
          </w:p>
        </w:tc>
        <w:tc>
          <w:tcPr>
            <w:tcW w:w="717" w:type="pct"/>
          </w:tcPr>
          <w:p w14:paraId="1833E835">
            <w:pPr>
              <w:autoSpaceDE w:val="0"/>
              <w:autoSpaceDN w:val="0"/>
              <w:jc w:val="left"/>
              <w:rPr>
                <w:rFonts w:ascii="宋体" w:hAnsi="宋体" w:eastAsia="宋体" w:cs="宋体"/>
                <w:kern w:val="0"/>
                <w:sz w:val="22"/>
                <w:szCs w:val="22"/>
                <w:highlight w:val="none"/>
              </w:rPr>
            </w:pPr>
          </w:p>
        </w:tc>
        <w:tc>
          <w:tcPr>
            <w:tcW w:w="717" w:type="pct"/>
          </w:tcPr>
          <w:p w14:paraId="3C2B3FF5">
            <w:pPr>
              <w:autoSpaceDE w:val="0"/>
              <w:autoSpaceDN w:val="0"/>
              <w:jc w:val="left"/>
              <w:rPr>
                <w:rFonts w:ascii="宋体" w:hAnsi="宋体" w:eastAsia="宋体" w:cs="宋体"/>
                <w:kern w:val="0"/>
                <w:sz w:val="22"/>
                <w:szCs w:val="22"/>
                <w:highlight w:val="none"/>
              </w:rPr>
            </w:pPr>
          </w:p>
        </w:tc>
        <w:tc>
          <w:tcPr>
            <w:tcW w:w="717" w:type="pct"/>
          </w:tcPr>
          <w:p w14:paraId="64975B9D">
            <w:pPr>
              <w:autoSpaceDE w:val="0"/>
              <w:autoSpaceDN w:val="0"/>
              <w:jc w:val="left"/>
              <w:rPr>
                <w:rFonts w:ascii="宋体" w:hAnsi="宋体" w:eastAsia="宋体" w:cs="宋体"/>
                <w:kern w:val="0"/>
                <w:sz w:val="22"/>
                <w:szCs w:val="22"/>
                <w:highlight w:val="none"/>
              </w:rPr>
            </w:pPr>
          </w:p>
        </w:tc>
        <w:tc>
          <w:tcPr>
            <w:tcW w:w="717" w:type="pct"/>
          </w:tcPr>
          <w:p w14:paraId="79CE0529">
            <w:pPr>
              <w:autoSpaceDE w:val="0"/>
              <w:autoSpaceDN w:val="0"/>
              <w:jc w:val="left"/>
              <w:rPr>
                <w:rFonts w:ascii="宋体" w:hAnsi="宋体" w:eastAsia="宋体" w:cs="宋体"/>
                <w:kern w:val="0"/>
                <w:sz w:val="22"/>
                <w:szCs w:val="22"/>
                <w:highlight w:val="none"/>
              </w:rPr>
            </w:pPr>
          </w:p>
        </w:tc>
      </w:tr>
    </w:tbl>
    <w:p w14:paraId="3210F7B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65924FF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1、本表应按照下列规定填写：</w:t>
      </w:r>
    </w:p>
    <w:p w14:paraId="367AB71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1.1“采购包”、“品目号”、“投标标的”及“数量”应与招标文件《采购标的一览表》中的有关内容（“采购包”、“品目号”、“采购标的”及“数量”）保持一致。</w:t>
      </w:r>
    </w:p>
    <w:p w14:paraId="36DD8BB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409C7590">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1.3“投标标的”为服务的：“规格”项下应填写服务提供者提供的服务标准及品牌（若有）。“来源地”应填写服务提供者的所在地。“备注”项下应填写关于服务标准所涵盖的具体项目或内容的说明等。</w:t>
      </w:r>
    </w:p>
    <w:p w14:paraId="03AFA5B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2、投标人需要说明的内容若需特殊表达，应先在本表中进行相应说明，再另页应答，但应做好标注说明，方便评委查阅评审。未标注说明可能导致的不利的评审后果由投标人自行承担。</w:t>
      </w:r>
    </w:p>
    <w:p w14:paraId="027F1EE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3、电子投标文件中涉及“投标标的”、“数量”、“规格”、“来源地”的内容若不一致，以投标客户端的投标（响应）报价明细表为准。</w:t>
      </w:r>
    </w:p>
    <w:p w14:paraId="1F60593F">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1CFD0885">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146720E1">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390EB4A6">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二、技术和服务要求响应表</w:t>
      </w:r>
    </w:p>
    <w:p w14:paraId="47918525">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项目编号：</w:t>
      </w:r>
      <w:r>
        <w:rPr>
          <w:rFonts w:hint="eastAsia" w:ascii="仿宋_GB2312" w:hAnsi="仿宋_GB2312" w:eastAsia="仿宋_GB2312" w:cs="仿宋_GB2312"/>
          <w:highlight w:val="none"/>
          <w:u w:val="single"/>
          <w:lang w:val="en-US" w:eastAsia="zh-Hans"/>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2F87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1669ED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w:t>
            </w:r>
          </w:p>
        </w:tc>
        <w:tc>
          <w:tcPr>
            <w:tcW w:w="1661" w:type="dxa"/>
          </w:tcPr>
          <w:p w14:paraId="6029F15B">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品目号</w:t>
            </w:r>
          </w:p>
        </w:tc>
        <w:tc>
          <w:tcPr>
            <w:tcW w:w="1661" w:type="dxa"/>
          </w:tcPr>
          <w:p w14:paraId="4A52664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技术和服务要求</w:t>
            </w:r>
          </w:p>
        </w:tc>
        <w:tc>
          <w:tcPr>
            <w:tcW w:w="1661" w:type="dxa"/>
          </w:tcPr>
          <w:p w14:paraId="284D804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投标响应</w:t>
            </w:r>
          </w:p>
        </w:tc>
        <w:tc>
          <w:tcPr>
            <w:tcW w:w="1661" w:type="dxa"/>
          </w:tcPr>
          <w:p w14:paraId="4DC13E7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是否偏离及说明</w:t>
            </w:r>
          </w:p>
        </w:tc>
      </w:tr>
      <w:tr w14:paraId="5FCEC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93175D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1661" w:type="dxa"/>
          </w:tcPr>
          <w:p w14:paraId="6E814950">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1661" w:type="dxa"/>
          </w:tcPr>
          <w:p w14:paraId="59ACE46F">
            <w:pPr>
              <w:autoSpaceDE w:val="0"/>
              <w:autoSpaceDN w:val="0"/>
              <w:jc w:val="left"/>
              <w:rPr>
                <w:rFonts w:ascii="宋体" w:hAnsi="宋体" w:eastAsia="宋体" w:cs="宋体"/>
                <w:kern w:val="0"/>
                <w:sz w:val="22"/>
                <w:szCs w:val="22"/>
                <w:highlight w:val="none"/>
              </w:rPr>
            </w:pPr>
          </w:p>
        </w:tc>
        <w:tc>
          <w:tcPr>
            <w:tcW w:w="1661" w:type="dxa"/>
          </w:tcPr>
          <w:p w14:paraId="11C9BD97">
            <w:pPr>
              <w:autoSpaceDE w:val="0"/>
              <w:autoSpaceDN w:val="0"/>
              <w:jc w:val="left"/>
              <w:rPr>
                <w:rFonts w:ascii="宋体" w:hAnsi="宋体" w:eastAsia="宋体" w:cs="宋体"/>
                <w:kern w:val="0"/>
                <w:sz w:val="22"/>
                <w:szCs w:val="22"/>
                <w:highlight w:val="none"/>
              </w:rPr>
            </w:pPr>
          </w:p>
        </w:tc>
        <w:tc>
          <w:tcPr>
            <w:tcW w:w="1661" w:type="dxa"/>
          </w:tcPr>
          <w:p w14:paraId="053A8459">
            <w:pPr>
              <w:autoSpaceDE w:val="0"/>
              <w:autoSpaceDN w:val="0"/>
              <w:jc w:val="left"/>
              <w:rPr>
                <w:rFonts w:ascii="宋体" w:hAnsi="宋体" w:eastAsia="宋体" w:cs="宋体"/>
                <w:kern w:val="0"/>
                <w:sz w:val="22"/>
                <w:szCs w:val="22"/>
                <w:highlight w:val="none"/>
              </w:rPr>
            </w:pPr>
          </w:p>
        </w:tc>
      </w:tr>
      <w:tr w14:paraId="5FB31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00C511F">
            <w:pPr>
              <w:autoSpaceDE w:val="0"/>
              <w:autoSpaceDN w:val="0"/>
              <w:jc w:val="left"/>
              <w:rPr>
                <w:rFonts w:ascii="宋体" w:hAnsi="宋体" w:eastAsia="宋体" w:cs="宋体"/>
                <w:kern w:val="0"/>
                <w:sz w:val="22"/>
                <w:szCs w:val="22"/>
                <w:highlight w:val="none"/>
              </w:rPr>
            </w:pPr>
          </w:p>
        </w:tc>
        <w:tc>
          <w:tcPr>
            <w:tcW w:w="1661" w:type="dxa"/>
          </w:tcPr>
          <w:p w14:paraId="42FFD425">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1661" w:type="dxa"/>
          </w:tcPr>
          <w:p w14:paraId="30A596CD">
            <w:pPr>
              <w:autoSpaceDE w:val="0"/>
              <w:autoSpaceDN w:val="0"/>
              <w:jc w:val="left"/>
              <w:rPr>
                <w:rFonts w:ascii="宋体" w:hAnsi="宋体" w:eastAsia="宋体" w:cs="宋体"/>
                <w:kern w:val="0"/>
                <w:sz w:val="22"/>
                <w:szCs w:val="22"/>
                <w:highlight w:val="none"/>
              </w:rPr>
            </w:pPr>
          </w:p>
        </w:tc>
        <w:tc>
          <w:tcPr>
            <w:tcW w:w="1661" w:type="dxa"/>
          </w:tcPr>
          <w:p w14:paraId="7B4B3F4C">
            <w:pPr>
              <w:autoSpaceDE w:val="0"/>
              <w:autoSpaceDN w:val="0"/>
              <w:jc w:val="left"/>
              <w:rPr>
                <w:rFonts w:ascii="宋体" w:hAnsi="宋体" w:eastAsia="宋体" w:cs="宋体"/>
                <w:kern w:val="0"/>
                <w:sz w:val="22"/>
                <w:szCs w:val="22"/>
                <w:highlight w:val="none"/>
              </w:rPr>
            </w:pPr>
          </w:p>
        </w:tc>
        <w:tc>
          <w:tcPr>
            <w:tcW w:w="1661" w:type="dxa"/>
          </w:tcPr>
          <w:p w14:paraId="353869CC">
            <w:pPr>
              <w:autoSpaceDE w:val="0"/>
              <w:autoSpaceDN w:val="0"/>
              <w:jc w:val="left"/>
              <w:rPr>
                <w:rFonts w:ascii="宋体" w:hAnsi="宋体" w:eastAsia="宋体" w:cs="宋体"/>
                <w:kern w:val="0"/>
                <w:sz w:val="22"/>
                <w:szCs w:val="22"/>
                <w:highlight w:val="none"/>
              </w:rPr>
            </w:pPr>
          </w:p>
        </w:tc>
      </w:tr>
      <w:tr w14:paraId="64F74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475757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1661" w:type="dxa"/>
          </w:tcPr>
          <w:p w14:paraId="35E7C9E6">
            <w:pPr>
              <w:autoSpaceDE w:val="0"/>
              <w:autoSpaceDN w:val="0"/>
              <w:jc w:val="left"/>
              <w:rPr>
                <w:rFonts w:ascii="宋体" w:hAnsi="宋体" w:eastAsia="宋体" w:cs="宋体"/>
                <w:kern w:val="0"/>
                <w:sz w:val="22"/>
                <w:szCs w:val="22"/>
                <w:highlight w:val="none"/>
              </w:rPr>
            </w:pPr>
          </w:p>
        </w:tc>
        <w:tc>
          <w:tcPr>
            <w:tcW w:w="1661" w:type="dxa"/>
          </w:tcPr>
          <w:p w14:paraId="1BB77710">
            <w:pPr>
              <w:autoSpaceDE w:val="0"/>
              <w:autoSpaceDN w:val="0"/>
              <w:jc w:val="left"/>
              <w:rPr>
                <w:rFonts w:ascii="宋体" w:hAnsi="宋体" w:eastAsia="宋体" w:cs="宋体"/>
                <w:kern w:val="0"/>
                <w:sz w:val="22"/>
                <w:szCs w:val="22"/>
                <w:highlight w:val="none"/>
              </w:rPr>
            </w:pPr>
          </w:p>
        </w:tc>
        <w:tc>
          <w:tcPr>
            <w:tcW w:w="1661" w:type="dxa"/>
          </w:tcPr>
          <w:p w14:paraId="7DD746DF">
            <w:pPr>
              <w:autoSpaceDE w:val="0"/>
              <w:autoSpaceDN w:val="0"/>
              <w:jc w:val="left"/>
              <w:rPr>
                <w:rFonts w:ascii="宋体" w:hAnsi="宋体" w:eastAsia="宋体" w:cs="宋体"/>
                <w:kern w:val="0"/>
                <w:sz w:val="22"/>
                <w:szCs w:val="22"/>
                <w:highlight w:val="none"/>
              </w:rPr>
            </w:pPr>
          </w:p>
        </w:tc>
        <w:tc>
          <w:tcPr>
            <w:tcW w:w="1661" w:type="dxa"/>
          </w:tcPr>
          <w:p w14:paraId="4AA8B974">
            <w:pPr>
              <w:autoSpaceDE w:val="0"/>
              <w:autoSpaceDN w:val="0"/>
              <w:jc w:val="left"/>
              <w:rPr>
                <w:rFonts w:ascii="宋体" w:hAnsi="宋体" w:eastAsia="宋体" w:cs="宋体"/>
                <w:kern w:val="0"/>
                <w:sz w:val="22"/>
                <w:szCs w:val="22"/>
                <w:highlight w:val="none"/>
              </w:rPr>
            </w:pPr>
          </w:p>
        </w:tc>
      </w:tr>
    </w:tbl>
    <w:p w14:paraId="770EB47E">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4D43C10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1、本表应按照下列规定填写：</w:t>
      </w:r>
    </w:p>
    <w:p w14:paraId="4FF58109">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1.1“技术和服务要求”项下填写的内容应与招标文件第五章“技术和服务要求”的内容保持一致。</w:t>
      </w:r>
    </w:p>
    <w:p w14:paraId="6FE04D6A">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5566664F">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1.3“是否偏离及说明”项下应按下列规定填写：优于的，填写“正偏离”；符合的，填写“无偏离”；低于的，填写“负偏离”。</w:t>
      </w:r>
    </w:p>
    <w:p w14:paraId="2591D44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2、投标人需要说明的内容若需特殊表达，应先在本表中进行相应说明，再另页应答，但应做好标注说明，方便评委查阅评审。未标注说明可能导致的不利的评审后果由投标人自行承担。</w:t>
      </w:r>
    </w:p>
    <w:p w14:paraId="786AE5F6">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7C2D3AE6">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167892C6">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3158BC50">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三、商务条件响应表</w:t>
      </w:r>
    </w:p>
    <w:p w14:paraId="206F42FD">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项目编号：</w:t>
      </w:r>
      <w:r>
        <w:rPr>
          <w:rFonts w:hint="eastAsia" w:ascii="仿宋_GB2312" w:hAnsi="仿宋_GB2312" w:eastAsia="仿宋_GB2312" w:cs="仿宋_GB2312"/>
          <w:highlight w:val="none"/>
          <w:u w:val="single"/>
          <w:lang w:val="en-US" w:eastAsia="zh-Hans"/>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D3E6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2D5FEAE">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采购包</w:t>
            </w:r>
          </w:p>
        </w:tc>
        <w:tc>
          <w:tcPr>
            <w:tcW w:w="1661" w:type="dxa"/>
          </w:tcPr>
          <w:p w14:paraId="678B8B23">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品目号</w:t>
            </w:r>
          </w:p>
        </w:tc>
        <w:tc>
          <w:tcPr>
            <w:tcW w:w="1661" w:type="dxa"/>
          </w:tcPr>
          <w:p w14:paraId="13CB4712">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商务条件</w:t>
            </w:r>
          </w:p>
        </w:tc>
        <w:tc>
          <w:tcPr>
            <w:tcW w:w="1661" w:type="dxa"/>
          </w:tcPr>
          <w:p w14:paraId="391FAAA8">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投标响应</w:t>
            </w:r>
          </w:p>
        </w:tc>
        <w:tc>
          <w:tcPr>
            <w:tcW w:w="1661" w:type="dxa"/>
          </w:tcPr>
          <w:p w14:paraId="76233197">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是否偏离及说明</w:t>
            </w:r>
          </w:p>
        </w:tc>
      </w:tr>
      <w:tr w14:paraId="0D83E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7E13D6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1661" w:type="dxa"/>
          </w:tcPr>
          <w:p w14:paraId="0E5F9F66">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w:t>
            </w:r>
          </w:p>
        </w:tc>
        <w:tc>
          <w:tcPr>
            <w:tcW w:w="1661" w:type="dxa"/>
          </w:tcPr>
          <w:p w14:paraId="21363FF0">
            <w:pPr>
              <w:autoSpaceDE w:val="0"/>
              <w:autoSpaceDN w:val="0"/>
              <w:jc w:val="left"/>
              <w:rPr>
                <w:rFonts w:ascii="宋体" w:hAnsi="宋体" w:eastAsia="宋体" w:cs="宋体"/>
                <w:kern w:val="0"/>
                <w:sz w:val="22"/>
                <w:szCs w:val="22"/>
                <w:highlight w:val="none"/>
              </w:rPr>
            </w:pPr>
          </w:p>
        </w:tc>
        <w:tc>
          <w:tcPr>
            <w:tcW w:w="1661" w:type="dxa"/>
          </w:tcPr>
          <w:p w14:paraId="05F531EB">
            <w:pPr>
              <w:autoSpaceDE w:val="0"/>
              <w:autoSpaceDN w:val="0"/>
              <w:jc w:val="left"/>
              <w:rPr>
                <w:rFonts w:ascii="宋体" w:hAnsi="宋体" w:eastAsia="宋体" w:cs="宋体"/>
                <w:kern w:val="0"/>
                <w:sz w:val="22"/>
                <w:szCs w:val="22"/>
                <w:highlight w:val="none"/>
              </w:rPr>
            </w:pPr>
          </w:p>
        </w:tc>
        <w:tc>
          <w:tcPr>
            <w:tcW w:w="1661" w:type="dxa"/>
          </w:tcPr>
          <w:p w14:paraId="573611F6">
            <w:pPr>
              <w:autoSpaceDE w:val="0"/>
              <w:autoSpaceDN w:val="0"/>
              <w:jc w:val="left"/>
              <w:rPr>
                <w:rFonts w:ascii="宋体" w:hAnsi="宋体" w:eastAsia="宋体" w:cs="宋体"/>
                <w:kern w:val="0"/>
                <w:sz w:val="22"/>
                <w:szCs w:val="22"/>
                <w:highlight w:val="none"/>
              </w:rPr>
            </w:pPr>
          </w:p>
        </w:tc>
      </w:tr>
      <w:tr w14:paraId="2548E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EB11845">
            <w:pPr>
              <w:autoSpaceDE w:val="0"/>
              <w:autoSpaceDN w:val="0"/>
              <w:jc w:val="left"/>
              <w:rPr>
                <w:rFonts w:ascii="宋体" w:hAnsi="宋体" w:eastAsia="宋体" w:cs="宋体"/>
                <w:kern w:val="0"/>
                <w:sz w:val="22"/>
                <w:szCs w:val="22"/>
                <w:highlight w:val="none"/>
              </w:rPr>
            </w:pPr>
          </w:p>
        </w:tc>
        <w:tc>
          <w:tcPr>
            <w:tcW w:w="1661" w:type="dxa"/>
          </w:tcPr>
          <w:p w14:paraId="6180B7A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1661" w:type="dxa"/>
          </w:tcPr>
          <w:p w14:paraId="5DD8F1C5">
            <w:pPr>
              <w:autoSpaceDE w:val="0"/>
              <w:autoSpaceDN w:val="0"/>
              <w:jc w:val="left"/>
              <w:rPr>
                <w:rFonts w:ascii="宋体" w:hAnsi="宋体" w:eastAsia="宋体" w:cs="宋体"/>
                <w:kern w:val="0"/>
                <w:sz w:val="22"/>
                <w:szCs w:val="22"/>
                <w:highlight w:val="none"/>
              </w:rPr>
            </w:pPr>
          </w:p>
        </w:tc>
        <w:tc>
          <w:tcPr>
            <w:tcW w:w="1661" w:type="dxa"/>
          </w:tcPr>
          <w:p w14:paraId="10D83B63">
            <w:pPr>
              <w:autoSpaceDE w:val="0"/>
              <w:autoSpaceDN w:val="0"/>
              <w:jc w:val="left"/>
              <w:rPr>
                <w:rFonts w:ascii="宋体" w:hAnsi="宋体" w:eastAsia="宋体" w:cs="宋体"/>
                <w:kern w:val="0"/>
                <w:sz w:val="22"/>
                <w:szCs w:val="22"/>
                <w:highlight w:val="none"/>
              </w:rPr>
            </w:pPr>
          </w:p>
        </w:tc>
        <w:tc>
          <w:tcPr>
            <w:tcW w:w="1661" w:type="dxa"/>
          </w:tcPr>
          <w:p w14:paraId="1A0EE3F0">
            <w:pPr>
              <w:autoSpaceDE w:val="0"/>
              <w:autoSpaceDN w:val="0"/>
              <w:jc w:val="left"/>
              <w:rPr>
                <w:rFonts w:ascii="宋体" w:hAnsi="宋体" w:eastAsia="宋体" w:cs="宋体"/>
                <w:kern w:val="0"/>
                <w:sz w:val="22"/>
                <w:szCs w:val="22"/>
                <w:highlight w:val="none"/>
              </w:rPr>
            </w:pPr>
          </w:p>
        </w:tc>
      </w:tr>
      <w:tr w14:paraId="6A8C3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40A5EBC">
            <w:pPr>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w:t>
            </w:r>
          </w:p>
        </w:tc>
        <w:tc>
          <w:tcPr>
            <w:tcW w:w="1661" w:type="dxa"/>
          </w:tcPr>
          <w:p w14:paraId="19ADEB3C">
            <w:pPr>
              <w:autoSpaceDE w:val="0"/>
              <w:autoSpaceDN w:val="0"/>
              <w:jc w:val="left"/>
              <w:rPr>
                <w:rFonts w:ascii="宋体" w:hAnsi="宋体" w:eastAsia="宋体" w:cs="宋体"/>
                <w:kern w:val="0"/>
                <w:sz w:val="22"/>
                <w:szCs w:val="22"/>
                <w:highlight w:val="none"/>
              </w:rPr>
            </w:pPr>
          </w:p>
        </w:tc>
        <w:tc>
          <w:tcPr>
            <w:tcW w:w="1661" w:type="dxa"/>
          </w:tcPr>
          <w:p w14:paraId="2FB3816D">
            <w:pPr>
              <w:autoSpaceDE w:val="0"/>
              <w:autoSpaceDN w:val="0"/>
              <w:jc w:val="left"/>
              <w:rPr>
                <w:rFonts w:ascii="宋体" w:hAnsi="宋体" w:eastAsia="宋体" w:cs="宋体"/>
                <w:kern w:val="0"/>
                <w:sz w:val="22"/>
                <w:szCs w:val="22"/>
                <w:highlight w:val="none"/>
              </w:rPr>
            </w:pPr>
          </w:p>
        </w:tc>
        <w:tc>
          <w:tcPr>
            <w:tcW w:w="1661" w:type="dxa"/>
          </w:tcPr>
          <w:p w14:paraId="2FEB59D5">
            <w:pPr>
              <w:autoSpaceDE w:val="0"/>
              <w:autoSpaceDN w:val="0"/>
              <w:jc w:val="left"/>
              <w:rPr>
                <w:rFonts w:ascii="宋体" w:hAnsi="宋体" w:eastAsia="宋体" w:cs="宋体"/>
                <w:kern w:val="0"/>
                <w:sz w:val="22"/>
                <w:szCs w:val="22"/>
                <w:highlight w:val="none"/>
              </w:rPr>
            </w:pPr>
          </w:p>
        </w:tc>
        <w:tc>
          <w:tcPr>
            <w:tcW w:w="1661" w:type="dxa"/>
          </w:tcPr>
          <w:p w14:paraId="4B659EC4">
            <w:pPr>
              <w:autoSpaceDE w:val="0"/>
              <w:autoSpaceDN w:val="0"/>
              <w:jc w:val="left"/>
              <w:rPr>
                <w:rFonts w:ascii="宋体" w:hAnsi="宋体" w:eastAsia="宋体" w:cs="宋体"/>
                <w:kern w:val="0"/>
                <w:sz w:val="22"/>
                <w:szCs w:val="22"/>
                <w:highlight w:val="none"/>
              </w:rPr>
            </w:pPr>
          </w:p>
        </w:tc>
      </w:tr>
    </w:tbl>
    <w:p w14:paraId="7F110701">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※注意：</w:t>
      </w:r>
    </w:p>
    <w:p w14:paraId="12E4F59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1、本表应按照下列规定填写：</w:t>
      </w:r>
    </w:p>
    <w:p w14:paraId="68D69E5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1.1“商务条件”项下填写的内容应与招标文件第五章“商务条件”的内容保持一致。</w:t>
      </w:r>
    </w:p>
    <w:p w14:paraId="1B785AB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1.2“投标响应”项下应填写具体的响应内容并与“商务条件”项下填写的内容逐项对应；对“商务条件”项下涉及“≥或＞”、“≤或＜”及某个区间值范围内的内容，应填写具体的数值。</w:t>
      </w:r>
    </w:p>
    <w:p w14:paraId="23550CC3">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1.3“是否偏离及说明”项下应按下列规定填写：优于的，填写“正偏离”；符合的，填写“无偏离”；低于的，填写“负偏离”。</w:t>
      </w:r>
    </w:p>
    <w:p w14:paraId="240D0F52">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2、投标人需要说明的内容若需特殊表达，应先在本表中进行相应说明，再另页应答，但应做好标注说明，方便评委查阅评审。未标注说明可能导致的不利的评审后果由投标人自行承担。</w:t>
      </w:r>
    </w:p>
    <w:p w14:paraId="5280816D">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投标人：</w:t>
      </w:r>
      <w:r>
        <w:rPr>
          <w:rFonts w:hint="eastAsia" w:ascii="仿宋_GB2312" w:hAnsi="仿宋_GB2312" w:eastAsia="仿宋_GB2312" w:cs="仿宋_GB2312"/>
          <w:highlight w:val="none"/>
          <w:u w:val="single"/>
          <w:lang w:val="en-US" w:eastAsia="zh-Hans"/>
        </w:rPr>
        <w:t>（全称并加盖单位公章）</w:t>
      </w:r>
    </w:p>
    <w:p w14:paraId="09E2565F">
      <w:pPr>
        <w:ind w:firstLine="480"/>
        <w:jc w:val="righ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日期：</w:t>
      </w:r>
      <w:r>
        <w:rPr>
          <w:rFonts w:hint="eastAsia" w:ascii="仿宋_GB2312" w:hAnsi="仿宋_GB2312" w:eastAsia="仿宋_GB2312" w:cs="仿宋_GB2312"/>
          <w:highlight w:val="none"/>
          <w:u w:val="single"/>
          <w:lang w:val="en-US" w:eastAsia="zh-Hans"/>
        </w:rPr>
        <w:t>　　年　　月　　日</w:t>
      </w:r>
    </w:p>
    <w:p w14:paraId="6167FDB2">
      <w:pP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 xml:space="preserve"> </w:t>
      </w:r>
      <w:r>
        <w:rPr>
          <w:rFonts w:hint="eastAsia" w:ascii="仿宋_GB2312" w:hAnsi="仿宋_GB2312" w:eastAsia="仿宋_GB2312" w:cs="仿宋_GB2312"/>
          <w:highlight w:val="none"/>
          <w:lang w:val="en-US" w:eastAsia="zh-Hans"/>
        </w:rPr>
        <w:br w:type="textWrapping"/>
      </w:r>
      <w:r>
        <w:rPr>
          <w:rFonts w:hint="eastAsia" w:ascii="仿宋_GB2312" w:hAnsi="仿宋_GB2312" w:eastAsia="仿宋_GB2312" w:cs="仿宋_GB2312"/>
          <w:highlight w:val="none"/>
          <w:lang w:val="en-US" w:eastAsia="zh-Hans"/>
        </w:rPr>
        <w:br w:type="page"/>
      </w:r>
    </w:p>
    <w:p w14:paraId="762AB948">
      <w:pPr>
        <w:jc w:val="center"/>
        <w:outlineLvl w:val="2"/>
        <w:rPr>
          <w:rFonts w:hint="eastAsia" w:ascii="Calibri" w:hAnsi="Calibri" w:eastAsia="宋体" w:cs="Times New Roman"/>
          <w:highlight w:val="none"/>
          <w:lang w:val="en-US" w:eastAsia="zh-Hans"/>
        </w:rPr>
      </w:pPr>
      <w:r>
        <w:rPr>
          <w:rFonts w:hint="eastAsia" w:ascii="仿宋_GB2312" w:hAnsi="仿宋_GB2312" w:eastAsia="仿宋_GB2312" w:cs="仿宋_GB2312"/>
          <w:b/>
          <w:sz w:val="28"/>
          <w:highlight w:val="none"/>
          <w:lang w:val="en-US" w:eastAsia="zh-Hans"/>
        </w:rPr>
        <w:t>四、投标人提交的其他资料（若有）</w:t>
      </w:r>
    </w:p>
    <w:p w14:paraId="0F47CFA8">
      <w:pPr>
        <w:ind w:firstLine="480"/>
        <w:jc w:val="center"/>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编制说明</w:t>
      </w:r>
    </w:p>
    <w:p w14:paraId="159EEA16">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1、招标文件要求提交的除“资格及资信证明部分”、“报价部分”外的其他证明材料或资料加盖投标人的单位公章后应在此项下提交。</w:t>
      </w:r>
    </w:p>
    <w:p w14:paraId="52888407">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2、招标文件要求投标人提供方案（包括但不限于：组织、实施、技术、服务方案等）的，投标人应在此项下提交。</w:t>
      </w:r>
    </w:p>
    <w:p w14:paraId="25608F44">
      <w:pPr>
        <w:ind w:firstLine="480"/>
        <w:jc w:val="left"/>
        <w:rPr>
          <w:rFonts w:hint="eastAsia" w:ascii="Calibri" w:hAnsi="Calibri" w:eastAsia="宋体" w:cs="Times New Roman"/>
          <w:highlight w:val="none"/>
          <w:lang w:val="en-US" w:eastAsia="zh-Hans"/>
        </w:rPr>
      </w:pPr>
      <w:r>
        <w:rPr>
          <w:rFonts w:hint="eastAsia" w:ascii="仿宋_GB2312" w:hAnsi="仿宋_GB2312" w:eastAsia="仿宋_GB2312" w:cs="仿宋_GB2312"/>
          <w:highlight w:val="none"/>
          <w:lang w:val="en-US" w:eastAsia="zh-Hans"/>
        </w:rPr>
        <w:t>3、除招标文件另有规定外，投标人认为需要提交的其他证明材料或资料加盖投标人的单位公章后应在此项下提交。</w:t>
      </w:r>
    </w:p>
    <w:p w14:paraId="1FCEDB21">
      <w:pPr>
        <w:rPr>
          <w:rFonts w:hint="eastAsia" w:ascii="Calibri" w:hAnsi="Calibri" w:eastAsia="宋体" w:cs="Times New Roman"/>
          <w:highlight w:val="none"/>
          <w:lang w:val="en-US" w:eastAsia="zh-Hans"/>
        </w:rPr>
      </w:pPr>
    </w:p>
    <w:p w14:paraId="27B1EFEA">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523C5"/>
    <w:multiLevelType w:val="singleLevel"/>
    <w:tmpl w:val="918523C5"/>
    <w:lvl w:ilvl="0" w:tentative="0">
      <w:start w:val="2"/>
      <w:numFmt w:val="decimal"/>
      <w:lvlText w:val="%1."/>
      <w:lvlJc w:val="left"/>
      <w:pPr>
        <w:tabs>
          <w:tab w:val="left" w:pos="312"/>
        </w:tabs>
        <w:ind w:left="1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8D28D8"/>
    <w:rsid w:val="5D8D28D8"/>
    <w:rsid w:val="74EFB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94</Pages>
  <Words>0</Words>
  <Characters>0</Characters>
  <Lines>0</Lines>
  <Paragraphs>0</Paragraphs>
  <TotalTime>11</TotalTime>
  <ScaleCrop>false</ScaleCrop>
  <LinksUpToDate>false</LinksUpToDate>
  <CharactersWithSpaces>0</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2026-08-24T20:20:00Z</dcterms:created>
  <dc:creator>陈秀文</dc:creator>
  <cp:lastModifiedBy>lenovo</cp:lastModifiedBy>
  <dcterms:modified xsi:type="dcterms:W3CDTF">2026-08-25T10:09:45Z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5AEFBB48218746C49B63FB403B236CD5_11</vt:lpwstr>
  </property>
  <property fmtid="{D5CDD505-2E9C-101B-9397-08002B2CF9AE}" pid="4" name="KSOTemplateDocerSaveRecord">
    <vt:lpwstr>eyJoZGlkIjoiODg2MDUxYWU0NjMzOGE4ZGY4YzA3NDExMmMxZjA4OGUiLCJ1c2VySWQiOiI0MTk3NjE3MTEifQ==</vt:lpwstr>
  </property>
</Properties>
</file>