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国标宋体" w:hAnsi="国标宋体" w:eastAsia="国标宋体" w:cs="国标宋体"/>
          <w:kern w:val="0"/>
          <w:sz w:val="32"/>
          <w:szCs w:val="32"/>
          <w:lang w:val="en-US" w:eastAsia="zh-CN"/>
        </w:rPr>
      </w:pPr>
      <w:r>
        <w:rPr>
          <w:rFonts w:hint="eastAsia" w:ascii="国标宋体" w:hAnsi="国标宋体" w:eastAsia="国标宋体" w:cs="国标宋体"/>
          <w:kern w:val="0"/>
          <w:sz w:val="32"/>
          <w:szCs w:val="32"/>
          <w:lang w:val="en-US" w:eastAsia="zh-CN"/>
        </w:rPr>
        <w:t>附件</w:t>
      </w:r>
    </w:p>
    <w:p>
      <w:pPr>
        <w:spacing w:line="580" w:lineRule="exact"/>
        <w:jc w:val="left"/>
        <w:rPr>
          <w:rFonts w:hint="eastAsia" w:ascii="国标宋体" w:hAnsi="国标宋体" w:eastAsia="国标宋体" w:cs="国标宋体"/>
          <w:kern w:val="0"/>
          <w:sz w:val="32"/>
          <w:szCs w:val="32"/>
          <w:lang w:val="en-US" w:eastAsia="zh-CN"/>
        </w:rPr>
      </w:pPr>
    </w:p>
    <w:p>
      <w:pPr>
        <w:spacing w:line="580" w:lineRule="exact"/>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谢有仁等60人交通违法人员逾期未接受</w:t>
      </w:r>
    </w:p>
    <w:p>
      <w:pPr>
        <w:spacing w:line="580" w:lineRule="exact"/>
        <w:jc w:val="center"/>
        <w:rPr>
          <w:rFonts w:hint="eastAsia"/>
          <w:sz w:val="44"/>
          <w:szCs w:val="44"/>
          <w:lang w:val="en-US" w:eastAsia="zh-CN"/>
        </w:rPr>
      </w:pPr>
      <w:r>
        <w:rPr>
          <w:rFonts w:hint="eastAsia" w:ascii="方正小标宋简体" w:hAnsi="方正小标宋简体" w:eastAsia="方正小标宋简体" w:cs="方正小标宋简体"/>
          <w:kern w:val="0"/>
          <w:sz w:val="44"/>
          <w:szCs w:val="44"/>
          <w:lang w:val="en-US" w:eastAsia="zh-CN"/>
        </w:rPr>
        <w:t>处理告知清单</w:t>
      </w:r>
    </w:p>
    <w:p/>
    <w:tbl>
      <w:tblPr>
        <w:tblStyle w:val="4"/>
        <w:tblW w:w="10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
        <w:gridCol w:w="840"/>
        <w:gridCol w:w="1334"/>
        <w:gridCol w:w="972"/>
        <w:gridCol w:w="2235"/>
        <w:gridCol w:w="1491"/>
        <w:gridCol w:w="242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841"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i w:val="0"/>
                <w:color w:val="000000"/>
                <w:sz w:val="24"/>
                <w:szCs w:val="24"/>
                <w:u w:val="none"/>
              </w:rPr>
            </w:pPr>
            <w:r>
              <w:rPr>
                <w:rFonts w:hint="eastAsia" w:ascii="国标黑体-GB/T 2312" w:hAnsi="国标黑体-GB/T 2312" w:eastAsia="国标黑体-GB/T 2312" w:cs="国标黑体-GB/T 2312"/>
                <w:i w:val="0"/>
                <w:color w:val="000000"/>
                <w:kern w:val="0"/>
                <w:sz w:val="24"/>
                <w:szCs w:val="24"/>
                <w:u w:val="none"/>
                <w:lang w:val="en-US" w:eastAsia="zh-CN" w:bidi="ar"/>
              </w:rPr>
              <w:t>序号</w:t>
            </w:r>
          </w:p>
        </w:tc>
        <w:tc>
          <w:tcPr>
            <w:tcW w:w="1334"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4"/>
                <w:szCs w:val="24"/>
                <w:u w:val="none"/>
              </w:rPr>
            </w:pPr>
            <w:r>
              <w:rPr>
                <w:rFonts w:hint="eastAsia" w:ascii="国标黑体-GB/T 2312" w:hAnsi="国标黑体-GB/T 2312" w:eastAsia="国标黑体-GB/T 2312" w:cs="国标黑体-GB/T 2312"/>
                <w:b/>
                <w:kern w:val="0"/>
                <w:sz w:val="24"/>
                <w:szCs w:val="24"/>
                <w:lang w:eastAsia="zh-CN"/>
              </w:rPr>
              <w:t>违法时间</w:t>
            </w:r>
          </w:p>
        </w:tc>
        <w:tc>
          <w:tcPr>
            <w:tcW w:w="972"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b/>
                <w:kern w:val="0"/>
                <w:sz w:val="24"/>
                <w:szCs w:val="24"/>
                <w:lang w:eastAsia="zh-CN"/>
              </w:rPr>
            </w:pPr>
            <w:r>
              <w:rPr>
                <w:rFonts w:hint="eastAsia" w:ascii="国标黑体-GB/T 2312" w:hAnsi="国标黑体-GB/T 2312" w:eastAsia="国标黑体-GB/T 2312" w:cs="国标黑体-GB/T 2312"/>
                <w:b/>
                <w:kern w:val="0"/>
                <w:sz w:val="24"/>
                <w:szCs w:val="24"/>
                <w:lang w:eastAsia="zh-CN"/>
              </w:rPr>
              <w:t>被告</w:t>
            </w:r>
          </w:p>
          <w:p>
            <w:pPr>
              <w:widowControl/>
              <w:jc w:val="center"/>
              <w:rPr>
                <w:rFonts w:hint="eastAsia" w:ascii="国标黑体-GB/T 2312" w:hAnsi="国标黑体-GB/T 2312" w:eastAsia="国标黑体-GB/T 2312" w:cs="国标黑体-GB/T 2312"/>
                <w:i w:val="0"/>
                <w:color w:val="000000"/>
                <w:sz w:val="24"/>
                <w:szCs w:val="24"/>
                <w:u w:val="none"/>
              </w:rPr>
            </w:pPr>
            <w:r>
              <w:rPr>
                <w:rFonts w:hint="eastAsia" w:ascii="国标黑体-GB/T 2312" w:hAnsi="国标黑体-GB/T 2312" w:eastAsia="国标黑体-GB/T 2312" w:cs="国标黑体-GB/T 2312"/>
                <w:b/>
                <w:kern w:val="0"/>
                <w:sz w:val="24"/>
                <w:szCs w:val="24"/>
                <w:lang w:eastAsia="zh-CN"/>
              </w:rPr>
              <w:t>知人</w:t>
            </w:r>
          </w:p>
        </w:tc>
        <w:tc>
          <w:tcPr>
            <w:tcW w:w="2235"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4"/>
                <w:szCs w:val="24"/>
                <w:u w:val="none"/>
              </w:rPr>
            </w:pPr>
            <w:r>
              <w:rPr>
                <w:rFonts w:hint="eastAsia" w:ascii="国标黑体-GB/T 2312" w:hAnsi="国标黑体-GB/T 2312" w:eastAsia="国标黑体-GB/T 2312" w:cs="国标黑体-GB/T 2312"/>
                <w:b/>
                <w:kern w:val="0"/>
                <w:sz w:val="24"/>
                <w:szCs w:val="24"/>
                <w:lang w:eastAsia="zh-CN"/>
              </w:rPr>
              <w:t>身份证号码</w:t>
            </w:r>
          </w:p>
        </w:tc>
        <w:tc>
          <w:tcPr>
            <w:tcW w:w="1491"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4"/>
                <w:szCs w:val="24"/>
                <w:u w:val="none"/>
              </w:rPr>
            </w:pPr>
            <w:r>
              <w:rPr>
                <w:rFonts w:hint="eastAsia" w:ascii="国标黑体-GB/T 2312" w:hAnsi="国标黑体-GB/T 2312" w:eastAsia="国标黑体-GB/T 2312" w:cs="国标黑体-GB/T 2312"/>
                <w:b/>
                <w:kern w:val="0"/>
                <w:sz w:val="24"/>
                <w:szCs w:val="24"/>
                <w:lang w:eastAsia="zh-CN"/>
              </w:rPr>
              <w:t>违法地点</w:t>
            </w:r>
          </w:p>
        </w:tc>
        <w:tc>
          <w:tcPr>
            <w:tcW w:w="2422"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4"/>
                <w:szCs w:val="24"/>
                <w:u w:val="none"/>
              </w:rPr>
            </w:pPr>
            <w:r>
              <w:rPr>
                <w:rFonts w:hint="eastAsia" w:ascii="国标黑体-GB/T 2312" w:hAnsi="国标黑体-GB/T 2312" w:eastAsia="国标黑体-GB/T 2312" w:cs="国标黑体-GB/T 2312"/>
                <w:b/>
                <w:kern w:val="0"/>
                <w:sz w:val="24"/>
                <w:szCs w:val="24"/>
                <w:lang w:eastAsia="zh-CN"/>
              </w:rPr>
              <w:t>违法行为</w:t>
            </w:r>
          </w:p>
        </w:tc>
        <w:tc>
          <w:tcPr>
            <w:tcW w:w="1250" w:type="dxa"/>
            <w:shd w:val="clear" w:color="auto" w:fill="FFFFFF"/>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4"/>
                <w:szCs w:val="24"/>
                <w:u w:val="none"/>
              </w:rPr>
            </w:pPr>
            <w:r>
              <w:rPr>
                <w:rFonts w:hint="eastAsia" w:ascii="国标黑体-GB/T 2312" w:hAnsi="国标黑体-GB/T 2312" w:eastAsia="国标黑体-GB/T 2312" w:cs="国标黑体-GB/T 2312"/>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87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2026-04-01 08:41:48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谢有仁</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35*************033</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尤溪七五路尤溪县七五路汽车站路口</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2026-04-01 09:24:57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陈方妹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35*************520</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尤溪七五路尤溪县七五路汽车站路口</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2026-04-02 09:54:00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林锡明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35*************556</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2026-04-02 10:40:00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陈基助</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35*************01X</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2026-04-03 10:08:00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陈道义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35*************018</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19032#19012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2026-04-03 11:40:00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林少恒</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35*************511</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w:t>
            </w:r>
            <w:bookmarkStart w:id="0" w:name="_GoBack"/>
            <w:bookmarkEnd w:id="0"/>
            <w:r>
              <w:rPr>
                <w:rFonts w:hint="eastAsia" w:ascii="宋体" w:hAnsi="宋体" w:eastAsia="宋体" w:cs="宋体"/>
                <w:i w:val="0"/>
                <w:color w:val="000000"/>
                <w:kern w:val="0"/>
                <w:sz w:val="22"/>
                <w:szCs w:val="22"/>
                <w:u w:val="none"/>
                <w:lang w:val="en-US" w:eastAsia="zh-CN" w:bidi="ar"/>
              </w:rPr>
              <w:t>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2026-04-03 20:37:00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严良善</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35*************515</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尤溪县西城执法大队路段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2026-04-03 20:41:00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严希焕</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35*************531</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尤溪县西城镇西城路段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2026-04-03 21:12:00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黄宏政</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35*************014</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尤溪县西城镇西城路段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2026-04-04 23:12:00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于荣美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35*************517</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尤溪县城关镇闽中大桥路段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6032#11184#19012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2026-04-07 10:29:00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黄效勇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35*************511</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尤溪县城关镇玉带桥路段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2026-04-08 10:38:00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李兴德</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51*************219</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2026-04-09 10:01:00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廖燕暖</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35*************510</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尤溪县城关镇七五路路段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2026-04-10 09:20:00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陈可翔</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35*************016</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2026-04-10 19:19:00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张萱</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35*************024</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尤溪县西城七口街北街</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2026-04-11 09:03:47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刘成鹏</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35*************537</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尤溪七五路尤溪县七五路汽车站路口</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2026-04-12 19:54:00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陈细珠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35*************526</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尤溪县城关镇水东路段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2026-04-13 11:05:00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纪维荣</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35*************510</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2026-04-14 09:30:00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胡明梅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35*************022</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尤溪县城关镇环城路路段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2026-04-15 08:53:00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王世模</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35*************034</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尤溪县城关镇水南路段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2026-04-15 09:13:00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罗增富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35*************519</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尤溪县城关镇水南路段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2026-04-15 10:37:00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林尚进</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35*************513</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尤溪县城关镇环城路路段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10052#11191#19022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2026-04-16 09:17:28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陈来妹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35*************527</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尤溪七五路尤溪县七五路汽车站路口</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2026-04-17 09:36:00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杨贵</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35*************513</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2026-04-17 09:42:00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王海英</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35*************028</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2026-04-17 09:48:00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乐巧明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35*************627</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2026-04-17 10:08:00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肖长语</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35*************514</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10052#70042#11184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2026-04-17 10:46:00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陈和煌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35*************516</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尤溪县成功的大润发路段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19032#11184#10052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2026-04-18 00:03:00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林振轩</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35*************518</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尤溪县闽中大桥路段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2026-04-18 10:45:00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纪长明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35*************537</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尤溪县城关镇七五路西门路段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2026-04-18 10:58:00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林新尧</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35*************019</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尤溪县城关镇七五路西门路段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2026-04-18 19:54:00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 xml:space="preserve">  黄廷根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35*************039</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尤溪县闽中大道紫阳水投路段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2026-04-18 20:26:00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黄家煜</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35*************01X</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坝园线坝园线01公里</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2026-04-18 20:44:00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陈义丹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35*************010</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尤溪县闽中大道</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2026-04-18 20:53:00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陈军</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35*************578</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尤溪县闽中大道</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2026-04-19 09:27:00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黄祥霖</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35*************014</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尤溪县城关镇环城路路段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2026-04-19 23:45:43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刘龙妹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35*************529</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尤溪县城关镇闽中大桥</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2026-04-20 00:03:40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严良添</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35*************018</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尤溪县城关镇闽中大桥</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2026-04-20 00:15:38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曾庭林</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35*************534</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尤溪县城关镇闽中大桥</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19021#11192#10052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2026-04-20 00:19:11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戴忠旺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35*************019</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尤溪县城关镇闽中大桥</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2026-04-21 08:52:23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郑基升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35*************113</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尤溪县城关镇闽中大桥</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2026-04-21 09:39:03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戴忠铨</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35*************010</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尤溪县城关七五路</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2026-04-21 09:49:21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蔡荣球</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35*************53X</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尤溪七五路尤溪县七五路汽车站路口</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2026-04-22 09:21:00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林名科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35*************539</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尤溪县西城镇城西大道</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2026-04-22 09:44:00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章羽轩</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35*************212</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10052#11192#60122#19021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2026-04-23 09:40:00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周美玲</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35*************641</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尤溪县城关镇闽中大桥路段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2026-04-24 09:09:00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黄良渭</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35*************033</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尤溪县城关镇环城路路段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2026-04-26 02:20:00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陈青鑫</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35*************019</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尤溪县城关镇六角井路段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6032#10052#19032#11192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2026-04-26 08:57:09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胡玉渲</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35*************033</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通埔线2公里19米</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10052#60177</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2026-04-26 09:11:04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阮颖</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35*************025</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尤溪县闽中大道尤溪县闽中大酒店</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2026-04-29 08:49:00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郭明清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35*************015</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尤溪县城关镇环城路路段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2026-04-29 19:47:06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刘景航</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53*************815</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尤溪县城关七五路</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2026-04-27 09:34:00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邱茂炷</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35*************016</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2026-04-27 10:06:00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田冰心</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35*************027</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2026-04-29 09:02:00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卢昌磊</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52*************811</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尤溪县城关镇环城路路段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2026-04-28 09:41:00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艾训泽</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35*************011</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2026-04-27 09:55:00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詹玲峰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35*************024</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尤溪县城关镇三角场路段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2026-04-28 00:43:00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茅述燊</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35*************011</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尤溪县城关镇闽中大桥出城路段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10052#60351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2026-04-29 20:03:10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曾德炤</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35*************517</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尤溪县闽中大道尤溪县鑫辉天城路口</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2026-04-29 11:38:00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蒋景鑫</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35*************019</w:t>
            </w:r>
          </w:p>
        </w:tc>
        <w:tc>
          <w:tcPr>
            <w:tcW w:w="149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尤溪县城关镇滨江印路段</w:t>
            </w:r>
          </w:p>
        </w:tc>
        <w:tc>
          <w:tcPr>
            <w:tcW w:w="24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交通管理大队</w:t>
            </w:r>
          </w:p>
        </w:tc>
      </w:tr>
    </w:tbl>
    <w:p>
      <w:pPr>
        <w:rPr>
          <w:rFonts w:hint="eastAsia"/>
          <w:lang w:val="en-US" w:eastAsia="zh-CN"/>
        </w:rPr>
      </w:pPr>
    </w:p>
    <w:p>
      <w:pPr>
        <w:rPr>
          <w:rFonts w:hint="eastAsia"/>
          <w:lang w:val="en-US" w:eastAsia="zh-CN"/>
        </w:rPr>
      </w:pPr>
      <w:r>
        <w:rPr>
          <w:rFonts w:hint="eastAsia"/>
          <w:lang w:val="en-US" w:eastAsia="zh-CN"/>
        </w:rPr>
        <w:t>备注：</w:t>
      </w:r>
    </w:p>
    <w:p>
      <w:pPr>
        <w:rPr>
          <w:rFonts w:hint="eastAsia"/>
          <w:lang w:val="en-US"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30" w:type="dxa"/>
            <w:vAlign w:val="top"/>
          </w:tcPr>
          <w:p>
            <w:pPr>
              <w:spacing w:line="600" w:lineRule="auto"/>
              <w:jc w:val="center"/>
              <w:rPr>
                <w:rFonts w:hint="eastAsia"/>
                <w:vertAlign w:val="baseline"/>
                <w:lang w:val="en-US" w:eastAsia="zh-CN"/>
              </w:rPr>
            </w:pPr>
            <w:r>
              <w:rPr>
                <w:rFonts w:hint="eastAsia"/>
                <w:vertAlign w:val="baseline"/>
                <w:lang w:val="en-US" w:eastAsia="zh-CN"/>
              </w:rPr>
              <w:t>违法代码</w:t>
            </w:r>
          </w:p>
        </w:tc>
        <w:tc>
          <w:tcPr>
            <w:tcW w:w="2130" w:type="dxa"/>
            <w:vAlign w:val="top"/>
          </w:tcPr>
          <w:p>
            <w:pPr>
              <w:spacing w:line="600" w:lineRule="auto"/>
              <w:jc w:val="center"/>
              <w:rPr>
                <w:vertAlign w:val="baseline"/>
              </w:rPr>
            </w:pPr>
            <w:r>
              <w:rPr>
                <w:rFonts w:hint="eastAsia"/>
                <w:vertAlign w:val="baseline"/>
                <w:lang w:val="en-US" w:eastAsia="zh-CN"/>
              </w:rPr>
              <w:t>违法行为</w:t>
            </w:r>
          </w:p>
        </w:tc>
        <w:tc>
          <w:tcPr>
            <w:tcW w:w="2131" w:type="dxa"/>
            <w:vAlign w:val="top"/>
          </w:tcPr>
          <w:p>
            <w:pPr>
              <w:spacing w:line="600" w:lineRule="auto"/>
              <w:jc w:val="center"/>
              <w:rPr>
                <w:vertAlign w:val="baseline"/>
              </w:rPr>
            </w:pPr>
            <w:r>
              <w:rPr>
                <w:rFonts w:hint="eastAsia"/>
                <w:vertAlign w:val="baseline"/>
                <w:lang w:val="en-US" w:eastAsia="zh-CN"/>
              </w:rPr>
              <w:t>处罚依据</w:t>
            </w:r>
          </w:p>
        </w:tc>
        <w:tc>
          <w:tcPr>
            <w:tcW w:w="2131" w:type="dxa"/>
            <w:vAlign w:val="top"/>
          </w:tcPr>
          <w:p>
            <w:pPr>
              <w:spacing w:line="600" w:lineRule="auto"/>
              <w:jc w:val="center"/>
              <w:rPr>
                <w:vertAlign w:val="baseline"/>
              </w:rPr>
            </w:pPr>
            <w:r>
              <w:rPr>
                <w:rFonts w:hint="eastAsia"/>
                <w:vertAlign w:val="baseline"/>
                <w:lang w:val="en-US" w:eastAsia="zh-CN"/>
              </w:rPr>
              <w:t>拟作出的行政处罚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10052</w:t>
            </w:r>
          </w:p>
        </w:tc>
        <w:tc>
          <w:tcPr>
            <w:tcW w:w="2130" w:type="dxa"/>
          </w:tcPr>
          <w:p>
            <w:pPr>
              <w:spacing w:line="240" w:lineRule="auto"/>
              <w:jc w:val="center"/>
              <w:rPr>
                <w:rFonts w:hint="eastAsia" w:eastAsia="宋体"/>
                <w:vertAlign w:val="baseline"/>
                <w:lang w:val="en-US" w:eastAsia="zh-CN"/>
              </w:rPr>
            </w:pPr>
            <w:r>
              <w:rPr>
                <w:rFonts w:hint="eastAsia"/>
                <w:vertAlign w:val="baseline"/>
                <w:lang w:val="en-US" w:eastAsia="zh-CN"/>
              </w:rPr>
              <w:t>未取得驾驶证驾驶非汽车类机动车</w:t>
            </w:r>
          </w:p>
        </w:tc>
        <w:tc>
          <w:tcPr>
            <w:tcW w:w="2131" w:type="dxa"/>
          </w:tcPr>
          <w:p>
            <w:pPr>
              <w:spacing w:line="240" w:lineRule="auto"/>
              <w:jc w:val="center"/>
              <w:rPr>
                <w:rFonts w:hint="eastAsia" w:eastAsia="宋体"/>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《中华人民共和国道路交通安全法》第99条第1款第1项、第2款；《福建省实施〈中华人民共和国道路交通安全法〉办法》第71条第1项</w:t>
            </w:r>
          </w:p>
        </w:tc>
        <w:tc>
          <w:tcPr>
            <w:tcW w:w="2131" w:type="dxa"/>
          </w:tcPr>
          <w:p>
            <w:pPr>
              <w:spacing w:line="240" w:lineRule="auto"/>
              <w:jc w:val="center"/>
              <w:rPr>
                <w:rFonts w:hint="eastAsia" w:eastAsia="宋体"/>
                <w:vertAlign w:val="baseline"/>
                <w:lang w:val="en-US" w:eastAsia="zh-CN"/>
              </w:rPr>
            </w:pPr>
            <w:r>
              <w:rPr>
                <w:rFonts w:hint="eastAsia"/>
                <w:vertAlign w:val="baseline"/>
                <w:lang w:eastAsia="zh-CN"/>
              </w:rPr>
              <w:t>对</w:t>
            </w:r>
            <w:r>
              <w:rPr>
                <w:rFonts w:hint="eastAsia"/>
                <w:vertAlign w:val="baseline"/>
                <w:lang w:val="en-US" w:eastAsia="zh-CN"/>
              </w:rPr>
              <w:t>未取得驾驶证驾驶非汽车类机动车的违法行为，处罚款300元。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10051</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未取得驾驶证驾驶汽车</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《中华人民共和国道路交通安全法》第99条第1款第1项、第2款；《福建省实施〈中华人民共和国道路交通安全法〉办法》第74条第6项</w:t>
            </w:r>
          </w:p>
        </w:tc>
        <w:tc>
          <w:tcPr>
            <w:tcW w:w="2131" w:type="dxa"/>
          </w:tcPr>
          <w:p>
            <w:pPr>
              <w:spacing w:line="240" w:lineRule="auto"/>
              <w:jc w:val="center"/>
              <w:rPr>
                <w:rFonts w:hint="eastAsia"/>
                <w:vertAlign w:val="baseline"/>
                <w:lang w:eastAsia="zh-CN"/>
              </w:rPr>
            </w:pPr>
            <w:r>
              <w:rPr>
                <w:rFonts w:hint="eastAsia"/>
                <w:vertAlign w:val="baseline"/>
                <w:lang w:val="en-US" w:eastAsia="zh-CN"/>
              </w:rPr>
              <w:t>对未取得驾驶证驾驶汽车机动车的违法行为，处罚款1500元。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19022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驾驶未悬挂机动车号牌的机动车上道路行驶的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《中华人民共和国道路交通安全法》第九十五条第一款、第九十条,《福建省实施〈中华人民共和国道路交通安全法〉办法》第70条第3项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驾驶未悬挂机动车号牌的机动车上道路行驶的违法行为，处罚款200元。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11192</w:t>
            </w:r>
          </w:p>
        </w:tc>
        <w:tc>
          <w:tcPr>
            <w:tcW w:w="2130" w:type="dxa"/>
          </w:tcPr>
          <w:p>
            <w:pPr>
              <w:spacing w:line="240" w:lineRule="auto"/>
              <w:jc w:val="both"/>
              <w:rPr>
                <w:rFonts w:hint="eastAsia"/>
                <w:vertAlign w:val="baseline"/>
                <w:lang w:val="en-US" w:eastAsia="zh-CN"/>
              </w:rPr>
            </w:pPr>
            <w:r>
              <w:rPr>
                <w:rFonts w:hint="eastAsia"/>
                <w:vertAlign w:val="baseline"/>
                <w:lang w:val="en-US" w:eastAsia="zh-CN"/>
              </w:rPr>
              <w:t>驾驶摩托车，不戴安全头盔的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《中华人民共和国道路交通安全法》第九十条、《福建省实施〈中华人民共和国道路交通安全法〉办法》第67条第7项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驾驶摩托车，不戴安全头盔的违法行为，处罚款100元。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60178</w:t>
            </w:r>
          </w:p>
        </w:tc>
        <w:tc>
          <w:tcPr>
            <w:tcW w:w="2130" w:type="dxa"/>
          </w:tcPr>
          <w:p>
            <w:pPr>
              <w:spacing w:line="240" w:lineRule="auto"/>
              <w:jc w:val="center"/>
              <w:rPr>
                <w:rFonts w:hint="eastAsia"/>
                <w:vertAlign w:val="baseline"/>
                <w:lang w:val="en-US" w:eastAsia="zh-CN"/>
              </w:rPr>
            </w:pPr>
            <w:r>
              <w:rPr>
                <w:rFonts w:hint="eastAsia"/>
                <w:lang w:val="en-US" w:eastAsia="zh-CN"/>
              </w:rPr>
              <w:t>普通摩托车载人超员</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.《中华人民共和国道路交通安全法》第九十条、《福建省实施〈中华人民共和国道路交通安全法〉办法》第70条第9项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普通摩托车载人超员</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11184</w:t>
            </w:r>
          </w:p>
        </w:tc>
        <w:tc>
          <w:tcPr>
            <w:tcW w:w="2130" w:type="dxa"/>
          </w:tcPr>
          <w:p>
            <w:pPr>
              <w:spacing w:line="240" w:lineRule="auto"/>
              <w:jc w:val="center"/>
              <w:rPr>
                <w:rFonts w:hint="eastAsia"/>
                <w:vertAlign w:val="baseline"/>
                <w:lang w:val="en-US" w:eastAsia="zh-CN"/>
              </w:rPr>
            </w:pPr>
            <w:r>
              <w:rPr>
                <w:rFonts w:hint="eastAsia"/>
                <w:lang w:val="en-US" w:eastAsia="zh-CN"/>
              </w:rPr>
              <w:t>驾驶未按规定定期进行安全技术检验的公路客运汽车、旅游客运汽车、危险物品运输车辆以外的机动车上道路行驶的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《机动车登记规定》第七十八条第四项</w:t>
            </w:r>
          </w:p>
        </w:tc>
        <w:tc>
          <w:tcPr>
            <w:tcW w:w="2131" w:type="dxa"/>
          </w:tcPr>
          <w:p>
            <w:pPr>
              <w:spacing w:line="240" w:lineRule="auto"/>
              <w:jc w:val="center"/>
              <w:rPr>
                <w:rFonts w:hint="eastAsia"/>
                <w:vertAlign w:val="baseline"/>
                <w:lang w:eastAsia="zh-CN"/>
              </w:rPr>
            </w:pPr>
            <w:r>
              <w:rPr>
                <w:rFonts w:hint="eastAsia"/>
                <w:lang w:val="en-US" w:eastAsia="zh-CN"/>
              </w:rPr>
              <w:t>对驾驶未按规定定期进行安全技术检验的公路客运汽车、旅游客运汽车、危险物品运输车辆以外的机动车上道路行驶</w:t>
            </w:r>
            <w:r>
              <w:rPr>
                <w:rFonts w:hint="eastAsia"/>
                <w:vertAlign w:val="baseline"/>
                <w:lang w:val="en-US" w:eastAsia="zh-CN"/>
              </w:rPr>
              <w:t>的违法行为，处罚款20元。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70042</w:t>
            </w:r>
          </w:p>
        </w:tc>
        <w:tc>
          <w:tcPr>
            <w:tcW w:w="2130" w:type="dxa"/>
          </w:tcPr>
          <w:p>
            <w:pPr>
              <w:spacing w:line="240" w:lineRule="auto"/>
              <w:jc w:val="both"/>
              <w:rPr>
                <w:rFonts w:hint="eastAsia"/>
                <w:vertAlign w:val="baseline"/>
                <w:lang w:val="en-US" w:eastAsia="zh-CN"/>
              </w:rPr>
            </w:pPr>
            <w:r>
              <w:rPr>
                <w:rFonts w:hint="eastAsia"/>
                <w:lang w:val="en-US" w:eastAsia="zh-CN"/>
              </w:rPr>
              <w:t>上道路行驶的机动车安装、使用妨碍交通安全和交通安全管理的装置或者安装影响交通安全的灯光装置</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《福建省实施〈中华人民共和国道路交通安全法〉办法》第70条第5项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上道路行驶的机动车安装、使用妨碍交通安全和交通安全管理的装置或者安装影响交通安全的灯光装置</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10364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违反规定在三轮载货机动车车厢内载人的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vertAlign w:val="baseline"/>
                <w:lang w:val="en-US" w:eastAsia="zh-CN"/>
              </w:rPr>
              <w:t>违反规定在三轮载货机动车车厢内载人的违法行为，处罚款100元。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60132</w:t>
            </w:r>
          </w:p>
        </w:tc>
        <w:tc>
          <w:tcPr>
            <w:tcW w:w="2130" w:type="dxa"/>
          </w:tcPr>
          <w:p>
            <w:pPr>
              <w:spacing w:line="240" w:lineRule="auto"/>
              <w:jc w:val="center"/>
              <w:rPr>
                <w:rFonts w:hint="eastAsia"/>
                <w:vertAlign w:val="baseline"/>
                <w:lang w:val="en-US" w:eastAsia="zh-CN"/>
              </w:rPr>
            </w:pPr>
            <w:r>
              <w:rPr>
                <w:rFonts w:hint="eastAsia"/>
                <w:lang w:val="en-US" w:eastAsia="zh-CN"/>
              </w:rPr>
              <w:t>驾驶轻便摩托车载人的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《福建省实施〈中华人民共和国道路交通安全法〉办法》第65条第11项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驾驶轻便摩托车载人的</w:t>
            </w:r>
            <w:r>
              <w:rPr>
                <w:rFonts w:hint="eastAsia"/>
                <w:vertAlign w:val="baseline"/>
                <w:lang w:val="en-US" w:eastAsia="zh-CN"/>
              </w:rPr>
              <w:t>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19032</w:t>
            </w:r>
          </w:p>
        </w:tc>
        <w:tc>
          <w:tcPr>
            <w:tcW w:w="2130" w:type="dxa"/>
          </w:tcPr>
          <w:p>
            <w:pPr>
              <w:spacing w:line="240" w:lineRule="auto"/>
              <w:jc w:val="center"/>
              <w:rPr>
                <w:rFonts w:hint="eastAsia"/>
                <w:lang w:val="en-US" w:eastAsia="zh-CN"/>
              </w:rPr>
            </w:pPr>
            <w:r>
              <w:rPr>
                <w:rFonts w:hint="eastAsia"/>
                <w:lang w:val="en-US" w:eastAsia="zh-CN"/>
              </w:rPr>
              <w:t>驾驶故意遮挡机动车号牌的机动车上道路行驶的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《中华人民共和国道路交通安全法》第九十五条第二款、第九十条</w:t>
            </w:r>
          </w:p>
        </w:tc>
        <w:tc>
          <w:tcPr>
            <w:tcW w:w="2131" w:type="dxa"/>
          </w:tcPr>
          <w:p>
            <w:pPr>
              <w:spacing w:line="240" w:lineRule="auto"/>
              <w:jc w:val="center"/>
              <w:rPr>
                <w:rFonts w:hint="eastAsia"/>
                <w:vertAlign w:val="baseline"/>
                <w:lang w:eastAsia="zh-CN"/>
              </w:rPr>
            </w:pPr>
            <w:r>
              <w:rPr>
                <w:rFonts w:hint="eastAsia"/>
                <w:lang w:val="en-US" w:eastAsia="zh-CN"/>
              </w:rPr>
              <w:t>对驾驶故意遮挡机动车号牌的机动车上道路行驶的</w:t>
            </w:r>
            <w:r>
              <w:rPr>
                <w:rFonts w:hint="eastAsia"/>
                <w:vertAlign w:val="baseline"/>
                <w:lang w:val="en-US" w:eastAsia="zh-CN"/>
              </w:rPr>
              <w:t>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10871</w:t>
            </w:r>
          </w:p>
        </w:tc>
        <w:tc>
          <w:tcPr>
            <w:tcW w:w="2130" w:type="dxa"/>
          </w:tcPr>
          <w:p>
            <w:pPr>
              <w:spacing w:line="240" w:lineRule="auto"/>
              <w:jc w:val="center"/>
              <w:rPr>
                <w:rFonts w:hint="eastAsia"/>
                <w:lang w:val="en-US" w:eastAsia="zh-CN"/>
              </w:rPr>
            </w:pPr>
            <w:r>
              <w:rPr>
                <w:rFonts w:hint="eastAsia"/>
                <w:lang w:val="en-US" w:eastAsia="zh-CN"/>
              </w:rPr>
              <w:t>擅自改变机动车外形和已登记的有关技术参数的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《机动车登记规定》第七十九条</w:t>
            </w:r>
          </w:p>
        </w:tc>
        <w:tc>
          <w:tcPr>
            <w:tcW w:w="2131" w:type="dxa"/>
          </w:tcPr>
          <w:p>
            <w:pPr>
              <w:spacing w:line="240" w:lineRule="auto"/>
              <w:jc w:val="center"/>
              <w:rPr>
                <w:rFonts w:hint="eastAsia"/>
                <w:lang w:val="en-US" w:eastAsia="zh-CN"/>
              </w:rPr>
            </w:pPr>
            <w:r>
              <w:rPr>
                <w:rFonts w:hint="eastAsia"/>
                <w:lang w:val="en-US" w:eastAsia="zh-CN"/>
              </w:rPr>
              <w:t>对擅自改变机动车外形和已登记的有关技术参数的违法行为，处罚500元。</w:t>
            </w:r>
          </w:p>
        </w:tc>
      </w:tr>
    </w:tbl>
    <w:p>
      <w:pPr>
        <w:rPr>
          <w:rFonts w:hint="eastAsia"/>
          <w:lang w:val="en-US" w:eastAsia="zh-CN"/>
        </w:rPr>
      </w:pPr>
    </w:p>
    <w:p>
      <w:pPr>
        <w:rPr>
          <w:rFonts w:hint="eastAsia"/>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黑体-GB/T 2312">
    <w:panose1 w:val="020005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20055"/>
    <w:rsid w:val="01444D46"/>
    <w:rsid w:val="04745652"/>
    <w:rsid w:val="04954CCC"/>
    <w:rsid w:val="1ACB1CB5"/>
    <w:rsid w:val="1B3D151A"/>
    <w:rsid w:val="23697F6D"/>
    <w:rsid w:val="2AD664B7"/>
    <w:rsid w:val="2E237209"/>
    <w:rsid w:val="306864DF"/>
    <w:rsid w:val="39731256"/>
    <w:rsid w:val="3F2850C1"/>
    <w:rsid w:val="40E23F14"/>
    <w:rsid w:val="40F6112A"/>
    <w:rsid w:val="4F8872ED"/>
    <w:rsid w:val="5081747B"/>
    <w:rsid w:val="549542A2"/>
    <w:rsid w:val="580F20ED"/>
    <w:rsid w:val="5856157E"/>
    <w:rsid w:val="5AF548AA"/>
    <w:rsid w:val="66120055"/>
    <w:rsid w:val="718179E7"/>
    <w:rsid w:val="7AD67F1C"/>
    <w:rsid w:val="7AEFC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2026-01-29T16:06:00Z</dcterms:created>
  <dc:creator>/</dc:creator>
  <cp:lastModifiedBy>尤溪县局交通管理大队</cp:lastModifiedBy>
  <cp:lastPrinted>2026-05-08T16:57:44Z</cp:lastPrinted>
  <dcterms:modified xsi:type="dcterms:W3CDTF">2026-05-08T16:57:47Z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22B9BBD41A36DC468BA5FD694ABD289B</vt:lpwstr>
  </property>
</Properties>
</file>