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62CFC">
      <w:pPr>
        <w:pStyle w:val="2"/>
        <w:keepNext/>
        <w:keepLines/>
        <w:pageBreakBefore w:val="0"/>
        <w:widowControl w:val="0"/>
        <w:numPr>
          <w:ilvl w:val="0"/>
          <w:numId w:val="1"/>
        </w:numPr>
        <w:kinsoku/>
        <w:wordWrap/>
        <w:overflowPunct/>
        <w:topLinePunct w:val="0"/>
        <w:autoSpaceDE/>
        <w:autoSpaceDN/>
        <w:bidi w:val="0"/>
        <w:adjustRightInd/>
        <w:snapToGrid w:val="0"/>
        <w:spacing w:before="220" w:after="0"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14:paraId="1C826218">
      <w:pPr>
        <w:widowControl/>
        <w:numPr>
          <w:ilvl w:val="0"/>
          <w:numId w:val="0"/>
        </w:numPr>
        <w:spacing w:line="360" w:lineRule="auto"/>
        <w:ind w:firstLine="482" w:firstLineChars="200"/>
        <w:jc w:val="left"/>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1、区位分析</w:t>
      </w:r>
    </w:p>
    <w:p w14:paraId="46497B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2"/>
          <w:szCs w:val="24"/>
        </w:rPr>
      </w:pPr>
      <w:r>
        <w:rPr>
          <w:rFonts w:hint="eastAsia" w:ascii="宋体" w:hAnsi="宋体" w:eastAsia="宋体" w:cs="宋体"/>
          <w:color w:val="auto"/>
          <w:sz w:val="24"/>
          <w:szCs w:val="24"/>
          <w:lang w:val="en-US" w:eastAsia="zh-CN"/>
        </w:rPr>
        <w:t xml:space="preserve">本案西岸北起于双拥桥桥头，下游南部闭合于北侧山坡的三奎和济庙；东岸起于双拥桥桥头，下游东部止于三奎大桥。  </w:t>
      </w:r>
      <w:r>
        <w:rPr>
          <w:rFonts w:hint="eastAsia"/>
          <w:color w:val="auto"/>
          <w:lang w:val="en-US" w:eastAsia="zh-CN"/>
        </w:rPr>
        <w:drawing>
          <wp:inline distT="0" distB="0" distL="114300" distR="114300">
            <wp:extent cx="5334000" cy="7137400"/>
            <wp:effectExtent l="0" t="0" r="0" b="6350"/>
            <wp:docPr id="5" name="图片 5" descr="01推荐方案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推荐方案区位图"/>
                    <pic:cNvPicPr>
                      <a:picLocks noChangeAspect="1"/>
                    </pic:cNvPicPr>
                  </pic:nvPicPr>
                  <pic:blipFill>
                    <a:blip r:embed="rId6"/>
                    <a:srcRect l="4364" t="3794" r="4081" b="4517"/>
                    <a:stretch>
                      <a:fillRect/>
                    </a:stretch>
                  </pic:blipFill>
                  <pic:spPr>
                    <a:xfrm>
                      <a:off x="0" y="0"/>
                      <a:ext cx="5334000" cy="7137400"/>
                    </a:xfrm>
                    <a:prstGeom prst="rect">
                      <a:avLst/>
                    </a:prstGeom>
                  </pic:spPr>
                </pic:pic>
              </a:graphicData>
            </a:graphic>
          </wp:inline>
        </w:drawing>
      </w:r>
    </w:p>
    <w:p w14:paraId="54E6F853">
      <w:pPr>
        <w:widowControl/>
        <w:numPr>
          <w:ilvl w:val="0"/>
          <w:numId w:val="0"/>
        </w:num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2、现状用地及土地权属</w:t>
      </w:r>
    </w:p>
    <w:p w14:paraId="53E31277">
      <w:pPr>
        <w:widowControl/>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根据第三次全国土地调查，拟选址项目规划范围内现状用地性质主要为耕地、园地、林地、交通用地、草地、其他土地、交通运输用地、住</w:t>
      </w:r>
      <w:r>
        <w:rPr>
          <w:rFonts w:hint="eastAsia" w:ascii="宋体" w:hAnsi="宋体" w:cs="宋体"/>
          <w:color w:val="auto"/>
          <w:sz w:val="24"/>
          <w:szCs w:val="24"/>
          <w:lang w:val="en-US" w:eastAsia="zh-CN"/>
        </w:rPr>
        <w:t>宅</w:t>
      </w:r>
      <w:r>
        <w:rPr>
          <w:rFonts w:hint="eastAsia" w:ascii="宋体" w:hAnsi="宋体" w:eastAsia="宋体" w:cs="宋体"/>
          <w:color w:val="auto"/>
          <w:sz w:val="24"/>
          <w:szCs w:val="24"/>
          <w:lang w:val="en-US" w:eastAsia="zh-CN"/>
        </w:rPr>
        <w:t>用地、水域及水利设施用地。</w:t>
      </w:r>
    </w:p>
    <w:p w14:paraId="6270794A">
      <w:pPr>
        <w:jc w:val="center"/>
        <w:rPr>
          <w:color w:val="auto"/>
        </w:rPr>
      </w:pPr>
      <w:r>
        <w:drawing>
          <wp:inline distT="0" distB="0" distL="114300" distR="114300">
            <wp:extent cx="5428615" cy="3153410"/>
            <wp:effectExtent l="0" t="0" r="635"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428615" cy="3153410"/>
                    </a:xfrm>
                    <a:prstGeom prst="rect">
                      <a:avLst/>
                    </a:prstGeom>
                    <a:noFill/>
                    <a:ln>
                      <a:noFill/>
                    </a:ln>
                  </pic:spPr>
                </pic:pic>
              </a:graphicData>
            </a:graphic>
          </wp:inline>
        </w:drawing>
      </w:r>
    </w:p>
    <w:p w14:paraId="0FE9D36C">
      <w:pPr>
        <w:pStyle w:val="2"/>
        <w:keepNext/>
        <w:keepLines/>
        <w:pageBreakBefore w:val="0"/>
        <w:widowControl w:val="0"/>
        <w:numPr>
          <w:ilvl w:val="0"/>
          <w:numId w:val="1"/>
        </w:numPr>
        <w:kinsoku/>
        <w:wordWrap/>
        <w:overflowPunct/>
        <w:topLinePunct w:val="0"/>
        <w:autoSpaceDE/>
        <w:autoSpaceDN/>
        <w:bidi w:val="0"/>
        <w:adjustRightInd/>
        <w:snapToGrid w:val="0"/>
        <w:spacing w:before="220" w:after="0" w:line="360"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项目建设内容</w:t>
      </w:r>
      <w:bookmarkStart w:id="7" w:name="_GoBack"/>
      <w:bookmarkEnd w:id="7"/>
    </w:p>
    <w:p w14:paraId="230D55FC">
      <w:pPr>
        <w:widowControl/>
        <w:spacing w:line="360" w:lineRule="auto"/>
        <w:ind w:firstLine="420"/>
        <w:jc w:val="left"/>
        <w:rPr>
          <w:rFonts w:hint="eastAsia" w:ascii="宋体" w:hAnsi="宋体" w:eastAsia="宋体" w:cs="宋体"/>
          <w:color w:val="auto"/>
          <w:sz w:val="24"/>
          <w:szCs w:val="24"/>
          <w:lang w:val="en-US" w:eastAsia="zh-CN"/>
        </w:rPr>
      </w:pPr>
      <w:bookmarkStart w:id="0" w:name="_Toc7516"/>
      <w:r>
        <w:rPr>
          <w:rFonts w:hint="eastAsia" w:ascii="宋体" w:hAnsi="宋体" w:eastAsia="宋体" w:cs="宋体"/>
          <w:color w:val="auto"/>
          <w:sz w:val="24"/>
          <w:szCs w:val="24"/>
          <w:lang w:val="en-US" w:eastAsia="zh-CN"/>
        </w:rPr>
        <w:t>1、项目性质</w:t>
      </w:r>
      <w:bookmarkEnd w:id="0"/>
    </w:p>
    <w:p w14:paraId="2C2B9F7B">
      <w:pPr>
        <w:widowControl/>
        <w:spacing w:line="360" w:lineRule="auto"/>
        <w:ind w:firstLine="42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w:t>
      </w:r>
      <w:r>
        <w:rPr>
          <w:rFonts w:hint="default" w:ascii="宋体" w:hAnsi="宋体" w:eastAsia="宋体" w:cs="宋体"/>
          <w:color w:val="auto"/>
          <w:sz w:val="24"/>
          <w:szCs w:val="24"/>
          <w:lang w:val="en-US" w:eastAsia="zh-CN"/>
        </w:rPr>
        <w:t>尤溪县流域河道生态保护修复项目</w:t>
      </w:r>
      <w:r>
        <w:rPr>
          <w:rFonts w:hint="eastAsia" w:ascii="宋体" w:hAnsi="宋体" w:eastAsia="宋体" w:cs="宋体"/>
          <w:color w:val="auto"/>
          <w:sz w:val="24"/>
          <w:szCs w:val="24"/>
          <w:lang w:val="en-US" w:eastAsia="zh-CN"/>
        </w:rPr>
        <w:t>属于堤防工程项目，项目类型为水利类型，项目性质为新建项目，主要建设内容包含护岸修复、硬化路面等,根据筑坝的材料来源及市政景观道路设计，经过技术经济比较分析，本次堤型结构为复式坡式护岸结构。</w:t>
      </w:r>
    </w:p>
    <w:p w14:paraId="38B07991">
      <w:pPr>
        <w:widowControl/>
        <w:tabs>
          <w:tab w:val="left" w:pos="399"/>
        </w:tabs>
        <w:spacing w:line="360" w:lineRule="auto"/>
        <w:ind w:firstLine="420"/>
        <w:jc w:val="left"/>
        <w:rPr>
          <w:rFonts w:hint="eastAsia" w:ascii="宋体" w:hAnsi="宋体" w:eastAsia="宋体" w:cs="宋体"/>
          <w:color w:val="auto"/>
          <w:sz w:val="24"/>
          <w:szCs w:val="24"/>
          <w:lang w:val="en-US" w:eastAsia="zh-CN"/>
        </w:rPr>
      </w:pPr>
      <w:bookmarkStart w:id="1" w:name="_Toc17314"/>
      <w:r>
        <w:rPr>
          <w:rFonts w:hint="eastAsia" w:ascii="宋体" w:hAnsi="宋体" w:eastAsia="宋体" w:cs="宋体"/>
          <w:color w:val="auto"/>
          <w:sz w:val="24"/>
          <w:szCs w:val="24"/>
          <w:lang w:val="en-US" w:eastAsia="zh-CN"/>
        </w:rPr>
        <w:t>2、建设标准</w:t>
      </w:r>
      <w:bookmarkEnd w:id="1"/>
    </w:p>
    <w:p w14:paraId="3738231D">
      <w:pPr>
        <w:widowControl/>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根据《尤溪县国民经济和社会发展第十四个五年规划和二〇三五年远景目标纲要》，闽江上游尤溪流域防洪提升工程三期(尤溪段)已列入重大水利项目库，堤防总长9.075 公里，涉及城关、西城、新阳、西滨等乡镇，堤防级别4级。</w:t>
      </w:r>
    </w:p>
    <w:p w14:paraId="4CDBEE48">
      <w:pPr>
        <w:widowControl/>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根据《尤溪县国土空间总体规划（2020-2035年）》，城区及乡镇防洪标准按 20 年一遇标准设防，故尤溪县流域河道生态保护修复项目防洪标准为20年一遇，根据《堤防工程设计规范》GB50286-2013。30年＞防洪标准≥20年的防洪工程的级别为4级。</w:t>
      </w:r>
    </w:p>
    <w:p w14:paraId="773B3E3E">
      <w:pPr>
        <w:widowControl/>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综上，本次</w:t>
      </w:r>
      <w:r>
        <w:rPr>
          <w:rFonts w:hint="default" w:ascii="宋体" w:hAnsi="宋体" w:eastAsia="宋体" w:cs="宋体"/>
          <w:color w:val="auto"/>
          <w:sz w:val="24"/>
          <w:szCs w:val="24"/>
          <w:lang w:val="en-US" w:eastAsia="zh-CN"/>
        </w:rPr>
        <w:t>尤溪县流域河道生态保护修复</w:t>
      </w:r>
      <w:r>
        <w:rPr>
          <w:rFonts w:hint="eastAsia" w:ascii="宋体" w:hAnsi="宋体" w:eastAsia="宋体" w:cs="宋体"/>
          <w:color w:val="auto"/>
          <w:sz w:val="24"/>
          <w:szCs w:val="24"/>
          <w:lang w:val="en-US" w:eastAsia="zh-CN"/>
        </w:rPr>
        <w:t>项目堤防工程的级别确认为4级。</w:t>
      </w:r>
    </w:p>
    <w:p w14:paraId="4DA440CF">
      <w:pPr>
        <w:widowControl/>
        <w:spacing w:line="360" w:lineRule="auto"/>
        <w:ind w:firstLine="420"/>
        <w:jc w:val="left"/>
        <w:rPr>
          <w:rFonts w:hint="eastAsia" w:ascii="宋体" w:hAnsi="宋体" w:eastAsia="宋体" w:cs="宋体"/>
          <w:color w:val="auto"/>
          <w:sz w:val="24"/>
          <w:szCs w:val="24"/>
          <w:lang w:val="en-US" w:eastAsia="zh-CN"/>
        </w:rPr>
      </w:pPr>
      <w:bookmarkStart w:id="2" w:name="_Toc7283"/>
      <w:r>
        <w:rPr>
          <w:rFonts w:hint="eastAsia" w:ascii="宋体" w:hAnsi="宋体" w:eastAsia="宋体" w:cs="宋体"/>
          <w:color w:val="auto"/>
          <w:sz w:val="24"/>
          <w:szCs w:val="24"/>
          <w:lang w:val="en-US" w:eastAsia="zh-CN"/>
        </w:rPr>
        <w:t>3、功能分区</w:t>
      </w:r>
      <w:bookmarkEnd w:id="2"/>
    </w:p>
    <w:p w14:paraId="56505D26">
      <w:pPr>
        <w:widowControl/>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本项目充分利用土地资源，科学布置场地，处理各分区之间的关系，根据《堤防工程设计规范》(GB50286-2013)的规定要求，本工程功能分区包括堤顶结构用地、堤脚结构用地、坡面结构用地等。</w:t>
      </w:r>
      <w:r>
        <w:rPr>
          <w:rFonts w:hint="eastAsia" w:ascii="宋体" w:hAnsi="宋体" w:eastAsia="宋体" w:cs="宋体"/>
          <w:color w:val="auto"/>
          <w:sz w:val="24"/>
          <w:szCs w:val="24"/>
          <w:lang w:val="en-US" w:eastAsia="zh-CN"/>
        </w:rPr>
        <w:drawing>
          <wp:inline distT="0" distB="0" distL="114300" distR="114300">
            <wp:extent cx="5370830" cy="7144385"/>
            <wp:effectExtent l="0" t="0" r="1270" b="18415"/>
            <wp:docPr id="7" name="图片 7" descr="功能分区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功能分区规划图"/>
                    <pic:cNvPicPr>
                      <a:picLocks noChangeAspect="1"/>
                    </pic:cNvPicPr>
                  </pic:nvPicPr>
                  <pic:blipFill>
                    <a:blip r:embed="rId8"/>
                    <a:srcRect l="4928" t="4989" r="4403" b="4741"/>
                    <a:stretch>
                      <a:fillRect/>
                    </a:stretch>
                  </pic:blipFill>
                  <pic:spPr>
                    <a:xfrm>
                      <a:off x="0" y="0"/>
                      <a:ext cx="5370830" cy="7144385"/>
                    </a:xfrm>
                    <a:prstGeom prst="rect">
                      <a:avLst/>
                    </a:prstGeom>
                  </pic:spPr>
                </pic:pic>
              </a:graphicData>
            </a:graphic>
          </wp:inline>
        </w:drawing>
      </w:r>
    </w:p>
    <w:p w14:paraId="076A1568">
      <w:pPr>
        <w:pStyle w:val="2"/>
        <w:keepNext/>
        <w:keepLines/>
        <w:pageBreakBefore w:val="0"/>
        <w:widowControl w:val="0"/>
        <w:numPr>
          <w:ilvl w:val="0"/>
          <w:numId w:val="1"/>
        </w:numPr>
        <w:kinsoku/>
        <w:wordWrap/>
        <w:overflowPunct/>
        <w:topLinePunct w:val="0"/>
        <w:autoSpaceDE/>
        <w:autoSpaceDN/>
        <w:bidi w:val="0"/>
        <w:adjustRightInd/>
        <w:snapToGrid w:val="0"/>
        <w:spacing w:before="220" w:after="0"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项目合规性评价</w:t>
      </w:r>
    </w:p>
    <w:p w14:paraId="67151330">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《尤溪县国民经济和社会发展第十四个五年规划和二〇三五年远景目标纲要》符合情况</w:t>
      </w:r>
    </w:p>
    <w:p w14:paraId="251CD5E7">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四五”规划明确提出节保障水安全和提升防灾减灾能力，以加强防洪薄弱环节建设为重点，加大中小河流治理力度，推进闽江上游尤溪流域防洪提升工程三期项目建设，并将该项目列入重大水利项目，到2025年，基本建成水质优良的水环境体系、保障有力的供水体系、河畅岸绿的水生态体系、稳定可靠的水安全体系和高效节能的用水体系。</w:t>
      </w:r>
    </w:p>
    <w:p w14:paraId="2EE17D22">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本项目为尤溪流域河道生态保护修复项目，项目旨在通过护坡生态修复等生态化治理手段的推动尤溪流域向好发展，是推动尤溪县生态文明建设的一个重要抓手，符合尤溪县“十四五”规划的要求。</w:t>
      </w:r>
    </w:p>
    <w:p w14:paraId="7D358BC9">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2、国土空间规划 “一张图”符合性</w:t>
      </w:r>
    </w:p>
    <w:p w14:paraId="33C0B492">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对接《尤溪县国土空间总体规划（2020-2035年）》，规划构建“两屏一脉，两心多廊“的生态保护格局，其中“一脉”指尤溪；要打造山水林田湖草生命共同体，运用整治受污染水体，多源化共同防护治理污染，施行河长制，规范化管理河道等手段保护水环境。项目的建设有助于尤溪生态保护格局的构建，有利于打造山水林田湖草生命共同体，管道的建设有助于完善区域污水收集系统，提高污水收集率。</w:t>
      </w:r>
    </w:p>
    <w:p w14:paraId="0420B12F">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尤溪河大儒至三奎段一河两岸生态修复工程</w:t>
      </w:r>
      <w:r>
        <w:rPr>
          <w:rFonts w:hint="eastAsia" w:ascii="宋体" w:hAnsi="宋体" w:eastAsia="宋体" w:cs="宋体"/>
          <w:color w:val="auto"/>
          <w:sz w:val="24"/>
          <w:szCs w:val="24"/>
          <w:lang w:val="en-US" w:eastAsia="zh-CN"/>
        </w:rPr>
        <w:t>、闽江上游尤溪流域防洪二期工程(尤溪段)、闽江尤溪流域防洪三期工程(尤溪段)、闽江尤溪流域防洪四期工程(尤溪段)等项目已列入重点建设项目安排表（民生项目类型）。</w:t>
      </w:r>
    </w:p>
    <w:p w14:paraId="6A9658E0">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综上所述，本项目符合国土空间规划及“一张图”，符合国土空间规划相关用途管制规则。</w:t>
      </w:r>
    </w:p>
    <w:p w14:paraId="66E89689">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bookmarkStart w:id="3" w:name="_Toc9799"/>
      <w:r>
        <w:rPr>
          <w:rFonts w:hint="eastAsia" w:ascii="宋体" w:hAnsi="宋体" w:eastAsia="宋体" w:cs="宋体"/>
          <w:color w:val="auto"/>
          <w:sz w:val="24"/>
          <w:szCs w:val="24"/>
          <w:lang w:val="en-US" w:eastAsia="zh-CN"/>
        </w:rPr>
        <w:t>3、项目土地供应符合情况</w:t>
      </w:r>
      <w:bookmarkEnd w:id="3"/>
    </w:p>
    <w:p w14:paraId="1AE38165">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为深入贯彻《国务院关于深化改革严格土地管理的决定》（国发〔2004〕28 号）和《国务院关于促进节约集约用地的通知》（国发〔2008〕3 号），促进节约集约利用土地和产业结构调整，依据《限制用地项目目录（2012 年本）》和《禁止用地项目目录（2012 年本）》的要求，建设项目必须符合目录规定条件。本项目经相关部门同意建设，且项目未列入原国土资源部、国家发展和改革委员会2012 年5月23 日联合发布的《限制用地项目目录（2012 年本）》和《禁止用地项目目录（2012 年本）》。本项目在供地方式上将以划拨方式取得土地使用权，供地政策符合国家供地相关法律法规。</w:t>
      </w:r>
    </w:p>
    <w:p w14:paraId="1A009CCC">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bookmarkStart w:id="4" w:name="_Toc781"/>
      <w:r>
        <w:rPr>
          <w:rFonts w:hint="eastAsia" w:ascii="宋体" w:hAnsi="宋体" w:eastAsia="宋体" w:cs="宋体"/>
          <w:color w:val="auto"/>
          <w:sz w:val="24"/>
          <w:szCs w:val="24"/>
          <w:lang w:val="en-US" w:eastAsia="zh-CN"/>
        </w:rPr>
        <w:t>4、项目产业政策符合情况</w:t>
      </w:r>
      <w:bookmarkEnd w:id="4"/>
    </w:p>
    <w:p w14:paraId="560F18D2">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产业结构调整指导目录》（2019年），可以将不同产业分为鼓励类、限制类和淘汰类三大类。鼓励类投资项目，按照国家有关投资管理规定进行审批、核准或备案；属于限制类的新建项目，禁止投资建设；对淘汰类项目，禁止投资建设。根据《产业结构调整指导目录》(2019年)，本项目属于该目录中鼓励发展的类别中的“城市积涝预警和防洪工程”，符合国家相关产业政策的要求。</w:t>
      </w:r>
    </w:p>
    <w:p w14:paraId="001F8CC2">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default" w:ascii="宋体" w:hAnsi="宋体" w:eastAsia="宋体" w:cs="宋体"/>
          <w:color w:val="auto"/>
          <w:sz w:val="24"/>
          <w:szCs w:val="24"/>
          <w:lang w:val="en-US" w:eastAsia="zh-CN"/>
        </w:rPr>
      </w:pPr>
      <w:bookmarkStart w:id="5" w:name="_Toc20724"/>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、《尤溪县350426-SD-L-3-1、350426-SK-B-17-1~4地块控制性详细规划》符合情况</w:t>
      </w:r>
      <w:bookmarkEnd w:id="5"/>
    </w:p>
    <w:p w14:paraId="47427C9A">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范围已落位在《尤溪县350426-SD-L-3-1、350426-SK-B-17-1~4地块控制性详细规划》，用地性质为水工建设用地（1311），规划定位为自然生态、安全可靠的防洪防汛水工基础设施。因此，尤溪县流域河道生态保护修复项目符合控制线详细规划要求。</w:t>
      </w:r>
    </w:p>
    <w:p w14:paraId="5D12641E">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default" w:ascii="宋体" w:hAnsi="宋体" w:eastAsia="宋体" w:cs="宋体"/>
          <w:color w:val="auto"/>
          <w:sz w:val="24"/>
          <w:szCs w:val="24"/>
          <w:lang w:val="en-US" w:eastAsia="zh-CN"/>
        </w:rPr>
      </w:pPr>
      <w:bookmarkStart w:id="6" w:name="_Toc20167"/>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、《尤溪县流域河道生态保护修复项目选址论证报告》符合情况</w:t>
      </w:r>
      <w:bookmarkEnd w:id="6"/>
    </w:p>
    <w:p w14:paraId="73102F0E">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建设规模与内容：项目用地面积36330平方米。主要建设内容包含护岸修复硬化路面24330㎡，挡土墙1750㎡，岸坡绿化修复12000㎡,设置4座移动环保公厕（含管理房）,配套给排水及电气工程等附属设施工程。</w:t>
      </w:r>
    </w:p>
    <w:p w14:paraId="093E529A">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建设投资：本项目总投资估算为 4054.96万元(含征迁)。其中：建安工程费3030.00 万元，工程建设其他费 622.34 万元，基本预备费 182.62 万元，征地征拆费220万元（暂估）。</w:t>
      </w:r>
    </w:p>
    <w:p w14:paraId="342D832E">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建设用地：核定尤溪县流域河道生态保护修复项目护岸修复硬化路面用地红线面积约为24330平方米。</w:t>
      </w:r>
    </w:p>
    <w:p w14:paraId="02B5FF01">
      <w:pPr>
        <w:pStyle w:val="2"/>
        <w:keepNext/>
        <w:keepLines/>
        <w:pageBreakBefore w:val="0"/>
        <w:widowControl w:val="0"/>
        <w:numPr>
          <w:ilvl w:val="0"/>
          <w:numId w:val="1"/>
        </w:numPr>
        <w:kinsoku/>
        <w:wordWrap/>
        <w:overflowPunct/>
        <w:topLinePunct w:val="0"/>
        <w:autoSpaceDE/>
        <w:autoSpaceDN/>
        <w:bidi w:val="0"/>
        <w:adjustRightInd/>
        <w:snapToGrid/>
        <w:spacing w:before="140" w:after="140" w:line="416"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结论</w:t>
      </w:r>
    </w:p>
    <w:p w14:paraId="32494F77">
      <w:pPr>
        <w:keepNext w:val="0"/>
        <w:keepLines w:val="0"/>
        <w:pageBreakBefore w:val="0"/>
        <w:widowControl/>
        <w:kinsoku/>
        <w:wordWrap/>
        <w:overflowPunct/>
        <w:topLinePunct w:val="0"/>
        <w:autoSpaceDE/>
        <w:autoSpaceDN/>
        <w:bidi w:val="0"/>
        <w:adjustRightInd/>
        <w:spacing w:line="348" w:lineRule="auto"/>
        <w:ind w:firstLine="420"/>
        <w:jc w:val="left"/>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经过技术、经济、规划等多方因素的比较，结合地方意见并根据相关行业规范，本项目用地面积符合相关标准，经过综合分析对比，推荐方案更符合节约集约用地的要求。</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4001">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FAC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3EFACE7">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117600" cy="303530"/>
              <wp:effectExtent l="0" t="0" r="0" b="0"/>
              <wp:wrapNone/>
              <wp:docPr id="21" name="组合 21"/>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2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278C8">
                            <w:pPr>
                              <w:jc w:val="center"/>
                              <w:rPr>
                                <w:rFonts w:hint="default"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769.9pt;height:23.9pt;width:88pt;mso-position-horizontal-relative:page;mso-position-vertical-relative:page;z-index:251659264;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3XvPltUAAAAEAQAADwAAAAAAAAABACAAAAAiAAAAZHJzL2Rvd25yZXYueG1sUEsBAhQAFAAA&#10;AAgAh07iQA1gXcZIAwAAowgAAA4AAAAAAAAAAQAgAAAAJAEAAGRycy9lMm9Eb2MueG1sUEsFBgAA&#10;AAAGAAYAWQEAAN4GAAAAAA==&#10;">
              <o:lock v:ext="edit" aspectratio="f"/>
              <v:rect id="矩形 2" o:spid="_x0000_s1026" o:spt="1" style="position:absolute;left:4728;top:1163;height:478;width:1760;v-text-anchor:middle;" fillcolor="#FFFFFF [3212]" filled="t" stroked="f" coordsize="21600,21600" o:gfxdata="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oJsvQAA&#10;ANs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6A278C8">
                      <w:pPr>
                        <w:jc w:val="center"/>
                        <w:rPr>
                          <w:rFonts w:hint="default" w:ascii="汉仪雅酷黑 75W" w:hAnsi="汉仪雅酷黑 75W" w:eastAsia="汉仪雅酷黑 75W" w:cs="汉仪雅酷黑 75W"/>
                          <w:lang w:val="en-US" w:eastAsia="zh-CN"/>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7F2E7">
    <w:pPr>
      <w:pStyle w:val="4"/>
      <w:jc w:val="left"/>
    </w:pPr>
    <w:r>
      <w:rPr>
        <w:sz w:val="18"/>
      </w:rPr>
      <mc:AlternateContent>
        <mc:Choice Requires="wpg">
          <w:drawing>
            <wp:anchor distT="0" distB="0" distL="114300" distR="114300" simplePos="0" relativeHeight="251661312" behindDoc="0" locked="0" layoutInCell="1" allowOverlap="1">
              <wp:simplePos x="0" y="0"/>
              <wp:positionH relativeFrom="margin">
                <wp:posOffset>58420</wp:posOffset>
              </wp:positionH>
              <wp:positionV relativeFrom="topMargin">
                <wp:posOffset>610870</wp:posOffset>
              </wp:positionV>
              <wp:extent cx="5002530"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5002530" cy="303530"/>
                        <a:chOff x="2730" y="1163"/>
                        <a:chExt cx="7878"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2730" y="1171"/>
                          <a:ext cx="7878"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6EFE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汉仪雅酷黑 75W" w:hAnsi="汉仪雅酷黑 75W" w:eastAsia="汉仪雅酷黑 75W" w:cs="汉仪雅酷黑 75W"/>
                                <w:sz w:val="21"/>
                                <w:szCs w:val="24"/>
                                <w:lang w:val="en-US" w:eastAsia="zh-CN"/>
                              </w:rPr>
                            </w:pPr>
                            <w:r>
                              <w:rPr>
                                <w:rFonts w:hint="eastAsia" w:ascii="汉仪雅酷黑 75W" w:hAnsi="汉仪雅酷黑 75W" w:eastAsia="汉仪雅酷黑 75W" w:cs="汉仪雅酷黑 75W"/>
                                <w:sz w:val="21"/>
                                <w:szCs w:val="24"/>
                                <w:lang w:val="en-US" w:eastAsia="zh-CN"/>
                              </w:rPr>
                              <w:t>尤溪县流域河道生态保护修复项目节约集约用地论证分析专章</w:t>
                            </w:r>
                          </w:p>
                          <w:p w14:paraId="4FBE4D0E">
                            <w:pPr>
                              <w:rPr>
                                <w:rFonts w:hint="default" w:ascii="汉仪雅酷黑 75W" w:hAnsi="汉仪雅酷黑 75W" w:eastAsia="汉仪雅酷黑 75W" w:cs="汉仪雅酷黑 75W"/>
                                <w:sz w:val="21"/>
                                <w:szCs w:val="24"/>
                                <w:lang w:val="en-US" w:eastAsia="zh-CN"/>
                              </w:rPr>
                            </w:pPr>
                          </w:p>
                          <w:p w14:paraId="7D00F8F5">
                            <w:pP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选址论证报告</w:t>
                            </w:r>
                          </w:p>
                          <w:p w14:paraId="48674751">
                            <w:pPr>
                              <w:rPr>
                                <w:rFonts w:hint="eastAsia"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4.6pt;margin-top:48.1pt;height:23.9pt;width:393.9pt;mso-position-horizontal-relative:page;mso-position-vertical-relative:page;z-index:251661312;mso-width-relative:page;mso-height-relative:page;" coordorigin="2730,1163" coordsize="7878,478" o:gfxdata="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p0o2D2AAAAAgBAAAPAAAAAAAAAAEAIAAAACIAAABkcnMvZG93bnJldi54bWxQSwECFAAUAAAA&#10;CACHTuJAwyV7MkQDAACfCAAADgAAAAAAAAABACAAAAAnAQAAZHJzL2Uyb0RvYy54bWxQSwUGAAAA&#10;AAYABgBZAQAA3Q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2730;top:1171;height:461;width:7878;"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4796EFE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汉仪雅酷黑 75W" w:hAnsi="汉仪雅酷黑 75W" w:eastAsia="汉仪雅酷黑 75W" w:cs="汉仪雅酷黑 75W"/>
                          <w:sz w:val="21"/>
                          <w:szCs w:val="24"/>
                          <w:lang w:val="en-US" w:eastAsia="zh-CN"/>
                        </w:rPr>
                      </w:pPr>
                      <w:r>
                        <w:rPr>
                          <w:rFonts w:hint="eastAsia" w:ascii="汉仪雅酷黑 75W" w:hAnsi="汉仪雅酷黑 75W" w:eastAsia="汉仪雅酷黑 75W" w:cs="汉仪雅酷黑 75W"/>
                          <w:sz w:val="21"/>
                          <w:szCs w:val="24"/>
                          <w:lang w:val="en-US" w:eastAsia="zh-CN"/>
                        </w:rPr>
                        <w:t>尤溪县流域河道生态保护修复项目节约集约用地论证分析专章</w:t>
                      </w:r>
                    </w:p>
                    <w:p w14:paraId="4FBE4D0E">
                      <w:pPr>
                        <w:rPr>
                          <w:rFonts w:hint="default" w:ascii="汉仪雅酷黑 75W" w:hAnsi="汉仪雅酷黑 75W" w:eastAsia="汉仪雅酷黑 75W" w:cs="汉仪雅酷黑 75W"/>
                          <w:sz w:val="21"/>
                          <w:szCs w:val="24"/>
                          <w:lang w:val="en-US" w:eastAsia="zh-CN"/>
                        </w:rPr>
                      </w:pPr>
                    </w:p>
                    <w:p w14:paraId="7D00F8F5">
                      <w:pP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选址论证报告</w:t>
                      </w:r>
                    </w:p>
                    <w:p w14:paraId="48674751">
                      <w:pPr>
                        <w:rPr>
                          <w:rFonts w:hint="eastAsia" w:ascii="汉仪雅酷黑 75W" w:hAnsi="汉仪雅酷黑 75W" w:eastAsia="汉仪雅酷黑 75W" w:cs="汉仪雅酷黑 75W"/>
                          <w:lang w:val="en-US" w:eastAsia="zh-CN"/>
                        </w:rPr>
                      </w:pPr>
                    </w:p>
                  </w:txbxContent>
                </v:textbox>
              </v:shape>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topMargin">
                <wp:align>bottom</wp:align>
              </wp:positionV>
              <wp:extent cx="5314950" cy="0"/>
              <wp:effectExtent l="0" t="4445" r="0" b="5080"/>
              <wp:wrapNone/>
              <wp:docPr id="1"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1.6pt;height:0pt;width:418.5pt;mso-position-horizontal-relative:page;mso-position-vertical-relative:page;z-index:251660288;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eeLX&#10;0wAAAAIBAAAPAAAAAAAAAAEAIAAAACIAAABkcnMvZG93bnJldi54bWxQSwECFAAUAAAACACHTuJA&#10;hchC2O0BAAC8AwAADgAAAAAAAAABACAAAAAiAQAAZHJzL2Uyb0RvYy54bWxQSwUGAAAAAAYABgBZ&#10;AQAAgQUAAAAA&#10;">
              <v:fill on="f" focussize="0,0"/>
              <v:stroke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441EC"/>
    <w:multiLevelType w:val="singleLevel"/>
    <w:tmpl w:val="6E3441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TJlMTE0YjJkM2YxMjVlY2RmYzM3MzNhOGI0MGMifQ=="/>
    <w:docVar w:name="KSO_WPS_MARK_KEY" w:val="311a253e-2745-4890-bd5a-b338aab20e6a"/>
  </w:docVars>
  <w:rsids>
    <w:rsidRoot w:val="00172A27"/>
    <w:rsid w:val="02D42AC6"/>
    <w:rsid w:val="0AEF497D"/>
    <w:rsid w:val="11DE7B31"/>
    <w:rsid w:val="16145547"/>
    <w:rsid w:val="466B6653"/>
    <w:rsid w:val="4D7325E1"/>
    <w:rsid w:val="57AF0E89"/>
    <w:rsid w:val="5D8451B6"/>
    <w:rsid w:val="655C3A65"/>
    <w:rsid w:val="6ADC0365"/>
    <w:rsid w:val="7195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2086</Words>
  <Characters>2275</Characters>
  <Lines>0</Lines>
  <Paragraphs>0</Paragraphs>
  <TotalTime>9</TotalTime>
  <ScaleCrop>false</ScaleCrop>
  <LinksUpToDate>false</LinksUpToDate>
  <CharactersWithSpaces>2295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2024-04-22T01:03:00Z</dcterms:created>
  <dc:creator>。</dc:creator>
  <cp:lastModifiedBy>Dell</cp:lastModifiedBy>
  <dcterms:modified xsi:type="dcterms:W3CDTF">2024-07-08T07:37:32Z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45C1221662C049B98DB47CCED49ED5F9_13</vt:lpwstr>
  </property>
</Properties>
</file>