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D6" w:rsidRDefault="00B4466C" w:rsidP="00070623">
      <w:pPr>
        <w:spacing w:line="590" w:lineRule="exact"/>
        <w:jc w:val="center"/>
        <w:rPr>
          <w:rFonts w:ascii="方正小标宋简体" w:eastAsia="方正小标宋简体"/>
          <w:sz w:val="44"/>
          <w:szCs w:val="44"/>
        </w:rPr>
      </w:pPr>
      <w:r w:rsidRPr="007368F6">
        <w:rPr>
          <w:rFonts w:ascii="方正小标宋简体" w:eastAsia="方正小标宋简体" w:hint="eastAsia"/>
          <w:sz w:val="44"/>
          <w:szCs w:val="44"/>
        </w:rPr>
        <w:t>尤溪县</w:t>
      </w:r>
      <w:r w:rsidRPr="007368F6">
        <w:rPr>
          <w:rFonts w:ascii="方正小标宋简体" w:eastAsia="方正小标宋简体" w:hAnsi="Times New Roman" w:cs="Times New Roman" w:hint="eastAsia"/>
          <w:sz w:val="44"/>
          <w:szCs w:val="44"/>
        </w:rPr>
        <w:t>2022</w:t>
      </w:r>
      <w:r w:rsidRPr="007368F6">
        <w:rPr>
          <w:rFonts w:ascii="方正小标宋简体" w:eastAsia="方正小标宋简体" w:hint="eastAsia"/>
          <w:sz w:val="44"/>
          <w:szCs w:val="44"/>
        </w:rPr>
        <w:t>年度第四批次土地征收成片开发方案（石路工业集中区下村洋片区）</w:t>
      </w:r>
    </w:p>
    <w:p w:rsidR="001210BA" w:rsidRPr="007368F6" w:rsidRDefault="001210BA" w:rsidP="007368F6">
      <w:pPr>
        <w:spacing w:line="590" w:lineRule="exact"/>
        <w:jc w:val="center"/>
        <w:rPr>
          <w:rFonts w:ascii="方正小标宋简体" w:eastAsia="方正小标宋简体"/>
          <w:sz w:val="44"/>
          <w:szCs w:val="44"/>
        </w:rPr>
      </w:pPr>
    </w:p>
    <w:p w:rsidR="00E774D6" w:rsidRPr="00573417" w:rsidRDefault="00B4466C" w:rsidP="007368F6">
      <w:pPr>
        <w:pStyle w:val="a6"/>
        <w:numPr>
          <w:ilvl w:val="0"/>
          <w:numId w:val="1"/>
        </w:numPr>
        <w:spacing w:line="590" w:lineRule="exact"/>
        <w:ind w:firstLineChars="0"/>
        <w:rPr>
          <w:rFonts w:ascii="黑体" w:eastAsia="黑体" w:hAnsi="黑体"/>
          <w:sz w:val="32"/>
          <w:szCs w:val="32"/>
        </w:rPr>
      </w:pPr>
      <w:r w:rsidRPr="00573417">
        <w:rPr>
          <w:rFonts w:ascii="黑体" w:eastAsia="黑体" w:hAnsi="黑体"/>
          <w:sz w:val="32"/>
          <w:szCs w:val="32"/>
        </w:rPr>
        <w:t>基本概况</w:t>
      </w:r>
    </w:p>
    <w:p w:rsidR="00E774D6" w:rsidRPr="00E8730F" w:rsidRDefault="00E8730F" w:rsidP="00E8730F">
      <w:pPr>
        <w:spacing w:line="58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（一）</w:t>
      </w:r>
      <w:r w:rsidR="00B4466C" w:rsidRPr="00E8730F">
        <w:rPr>
          <w:rFonts w:ascii="楷体" w:eastAsia="楷体" w:hAnsi="楷体" w:cs="Times New Roman" w:hint="eastAsia"/>
          <w:b/>
          <w:sz w:val="32"/>
          <w:szCs w:val="32"/>
        </w:rPr>
        <w:t>成片开发位置</w:t>
      </w:r>
    </w:p>
    <w:p w:rsidR="00E774D6" w:rsidRPr="00880F3E" w:rsidRDefault="00B4466C" w:rsidP="00457A00">
      <w:pPr>
        <w:spacing w:line="590" w:lineRule="exact"/>
        <w:ind w:firstLineChars="200" w:firstLine="640"/>
        <w:rPr>
          <w:rFonts w:ascii="仿宋_GB2312" w:eastAsia="仿宋_GB2312" w:hAnsiTheme="minorEastAsia"/>
          <w:sz w:val="32"/>
          <w:szCs w:val="32"/>
        </w:rPr>
      </w:pPr>
      <w:r w:rsidRPr="00880F3E">
        <w:rPr>
          <w:rFonts w:ascii="仿宋_GB2312" w:eastAsia="仿宋_GB2312" w:hint="eastAsia"/>
          <w:sz w:val="32"/>
          <w:szCs w:val="32"/>
        </w:rPr>
        <w:t>石路工业集中区下村洋片区位于尤溪县城老城区（城关镇）东侧的石路村</w:t>
      </w:r>
      <w:r w:rsidRPr="00880F3E">
        <w:rPr>
          <w:rFonts w:ascii="仿宋_GB2312" w:eastAsia="仿宋_GB2312" w:hAnsiTheme="minorEastAsia" w:hint="eastAsia"/>
          <w:sz w:val="32"/>
          <w:szCs w:val="32"/>
        </w:rPr>
        <w:t>，共</w:t>
      </w:r>
      <w:r w:rsidRPr="00880F3E">
        <w:rPr>
          <w:rFonts w:ascii="仿宋_GB2312" w:eastAsia="仿宋_GB2312" w:hAnsi="Times New Roman" w:cs="Times New Roman" w:hint="eastAsia"/>
          <w:sz w:val="32"/>
          <w:szCs w:val="32"/>
        </w:rPr>
        <w:t>1</w:t>
      </w:r>
      <w:r w:rsidRPr="00880F3E">
        <w:rPr>
          <w:rFonts w:ascii="仿宋_GB2312" w:eastAsia="仿宋_GB2312" w:hAnsiTheme="minorEastAsia" w:hint="eastAsia"/>
          <w:sz w:val="32"/>
          <w:szCs w:val="32"/>
        </w:rPr>
        <w:t>个镇</w:t>
      </w:r>
      <w:r w:rsidRPr="00880F3E">
        <w:rPr>
          <w:rFonts w:ascii="仿宋_GB2312" w:eastAsia="仿宋_GB2312" w:hAnsi="Times New Roman" w:cs="Times New Roman" w:hint="eastAsia"/>
          <w:sz w:val="32"/>
          <w:szCs w:val="32"/>
        </w:rPr>
        <w:t>1</w:t>
      </w:r>
      <w:r w:rsidRPr="00880F3E">
        <w:rPr>
          <w:rFonts w:ascii="仿宋_GB2312" w:eastAsia="仿宋_GB2312" w:hAnsiTheme="minorEastAsia" w:hint="eastAsia"/>
          <w:sz w:val="32"/>
          <w:szCs w:val="32"/>
        </w:rPr>
        <w:t>个村,涉及</w:t>
      </w:r>
      <w:r w:rsidRPr="00880F3E">
        <w:rPr>
          <w:rFonts w:ascii="仿宋_GB2312" w:eastAsia="仿宋_GB2312" w:hAnsi="Times New Roman" w:cs="Times New Roman" w:hint="eastAsia"/>
          <w:sz w:val="32"/>
          <w:szCs w:val="32"/>
        </w:rPr>
        <w:t>1</w:t>
      </w:r>
      <w:r w:rsidRPr="00880F3E">
        <w:rPr>
          <w:rFonts w:ascii="仿宋_GB2312" w:eastAsia="仿宋_GB2312" w:hAnsiTheme="minorEastAsia" w:hint="eastAsia"/>
          <w:sz w:val="32"/>
          <w:szCs w:val="32"/>
        </w:rPr>
        <w:t>个国有单位，不涉及省级和国家级开发区。</w:t>
      </w:r>
    </w:p>
    <w:p w:rsidR="00E774D6" w:rsidRPr="000579EA" w:rsidRDefault="000579EA" w:rsidP="00457A00">
      <w:pPr>
        <w:spacing w:line="58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（二）</w:t>
      </w:r>
      <w:r w:rsidR="00B4466C" w:rsidRPr="000579EA">
        <w:rPr>
          <w:rFonts w:ascii="楷体" w:eastAsia="楷体" w:hAnsi="楷体" w:cs="Times New Roman" w:hint="eastAsia"/>
          <w:b/>
          <w:sz w:val="32"/>
          <w:szCs w:val="32"/>
        </w:rPr>
        <w:t>成片</w:t>
      </w:r>
      <w:r w:rsidR="00B4466C" w:rsidRPr="000579EA">
        <w:rPr>
          <w:rFonts w:ascii="楷体" w:eastAsia="楷体" w:hAnsi="楷体" w:cs="Times New Roman"/>
          <w:b/>
          <w:sz w:val="32"/>
          <w:szCs w:val="32"/>
        </w:rPr>
        <w:t>开发范围</w:t>
      </w:r>
    </w:p>
    <w:p w:rsidR="00E774D6" w:rsidRPr="00880F3E" w:rsidRDefault="00B4466C" w:rsidP="00103CB4">
      <w:pPr>
        <w:spacing w:line="590" w:lineRule="exact"/>
        <w:ind w:firstLineChars="200" w:firstLine="640"/>
        <w:rPr>
          <w:rFonts w:ascii="仿宋_GB2312" w:eastAsia="仿宋_GB2312"/>
          <w:sz w:val="32"/>
          <w:szCs w:val="32"/>
        </w:rPr>
      </w:pPr>
      <w:r w:rsidRPr="00880F3E">
        <w:rPr>
          <w:rFonts w:ascii="仿宋_GB2312" w:eastAsia="仿宋_GB2312" w:hint="eastAsia"/>
          <w:sz w:val="32"/>
          <w:szCs w:val="32"/>
        </w:rPr>
        <w:t>本次成片开发的范围为：东至省道</w:t>
      </w:r>
      <w:r w:rsidRPr="00880F3E">
        <w:rPr>
          <w:rFonts w:ascii="仿宋_GB2312" w:eastAsia="仿宋_GB2312" w:hAnsi="Times New Roman" w:cs="Times New Roman" w:hint="eastAsia"/>
          <w:sz w:val="32"/>
          <w:szCs w:val="32"/>
        </w:rPr>
        <w:t>308</w:t>
      </w:r>
      <w:r w:rsidRPr="00880F3E">
        <w:rPr>
          <w:rFonts w:ascii="仿宋_GB2312" w:eastAsia="仿宋_GB2312" w:hint="eastAsia"/>
          <w:sz w:val="32"/>
          <w:szCs w:val="32"/>
        </w:rPr>
        <w:t>，西至</w:t>
      </w:r>
      <w:r w:rsidR="005D76E6" w:rsidRPr="00880F3E">
        <w:rPr>
          <w:rFonts w:ascii="仿宋_GB2312" w:eastAsia="仿宋_GB2312" w:hint="eastAsia"/>
          <w:sz w:val="32"/>
          <w:szCs w:val="32"/>
        </w:rPr>
        <w:t>山体</w:t>
      </w:r>
      <w:r w:rsidRPr="00880F3E">
        <w:rPr>
          <w:rFonts w:ascii="仿宋_GB2312" w:eastAsia="仿宋_GB2312" w:hint="eastAsia"/>
          <w:sz w:val="32"/>
          <w:szCs w:val="32"/>
        </w:rPr>
        <w:t>，南至城南隧道，北至省道</w:t>
      </w:r>
      <w:r w:rsidRPr="00880F3E">
        <w:rPr>
          <w:rFonts w:ascii="仿宋_GB2312" w:eastAsia="仿宋_GB2312" w:hAnsi="Times New Roman" w:cs="Times New Roman" w:hint="eastAsia"/>
          <w:sz w:val="32"/>
          <w:szCs w:val="32"/>
        </w:rPr>
        <w:t>308</w:t>
      </w:r>
      <w:r w:rsidRPr="00880F3E">
        <w:rPr>
          <w:rFonts w:ascii="仿宋_GB2312" w:eastAsia="仿宋_GB2312" w:hint="eastAsia"/>
          <w:sz w:val="32"/>
          <w:szCs w:val="32"/>
        </w:rPr>
        <w:t>。</w:t>
      </w:r>
    </w:p>
    <w:p w:rsidR="00E774D6" w:rsidRPr="00880F3E" w:rsidRDefault="00FF58E1" w:rsidP="00FF58E1">
      <w:pPr>
        <w:spacing w:line="580" w:lineRule="exact"/>
        <w:ind w:firstLineChars="200" w:firstLine="643"/>
        <w:rPr>
          <w:rFonts w:ascii="楷体_GB2312" w:eastAsia="楷体_GB2312"/>
          <w:b/>
          <w:sz w:val="32"/>
          <w:szCs w:val="32"/>
        </w:rPr>
      </w:pPr>
      <w:r>
        <w:rPr>
          <w:rFonts w:ascii="楷体" w:eastAsia="楷体" w:hAnsi="楷体" w:cs="Times New Roman" w:hint="eastAsia"/>
          <w:b/>
          <w:sz w:val="32"/>
          <w:szCs w:val="32"/>
        </w:rPr>
        <w:t>（三）</w:t>
      </w:r>
      <w:r w:rsidR="00B4466C" w:rsidRPr="00FF58E1">
        <w:rPr>
          <w:rFonts w:ascii="楷体" w:eastAsia="楷体" w:hAnsi="楷体" w:cs="Times New Roman" w:hint="eastAsia"/>
          <w:b/>
          <w:sz w:val="32"/>
          <w:szCs w:val="32"/>
        </w:rPr>
        <w:t>土地</w:t>
      </w:r>
      <w:r w:rsidR="00B4466C" w:rsidRPr="00FF58E1">
        <w:rPr>
          <w:rFonts w:ascii="楷体" w:eastAsia="楷体" w:hAnsi="楷体" w:cs="Times New Roman"/>
          <w:b/>
          <w:sz w:val="32"/>
          <w:szCs w:val="32"/>
        </w:rPr>
        <w:t>利用现状</w:t>
      </w:r>
    </w:p>
    <w:p w:rsidR="00E774D6" w:rsidRPr="00880F3E" w:rsidRDefault="00B4466C" w:rsidP="00457A00">
      <w:pPr>
        <w:pStyle w:val="a3"/>
        <w:spacing w:line="590" w:lineRule="exact"/>
        <w:ind w:firstLine="640"/>
        <w:rPr>
          <w:rFonts w:ascii="仿宋_GB2312" w:eastAsia="仿宋_GB2312" w:hAnsiTheme="minorEastAsia"/>
          <w:sz w:val="32"/>
          <w:szCs w:val="32"/>
        </w:rPr>
      </w:pPr>
      <w:r w:rsidRPr="00880F3E">
        <w:rPr>
          <w:rFonts w:ascii="仿宋_GB2312" w:eastAsia="仿宋_GB2312" w:hAnsiTheme="minorEastAsia" w:cstheme="minorBidi" w:hint="eastAsia"/>
          <w:sz w:val="32"/>
          <w:szCs w:val="32"/>
        </w:rPr>
        <w:t>本方案成片开发范围总面积</w:t>
      </w:r>
      <w:r w:rsidRPr="00880F3E">
        <w:rPr>
          <w:rFonts w:ascii="仿宋_GB2312" w:eastAsia="仿宋_GB2312" w:cs="Times New Roman" w:hint="eastAsia"/>
          <w:sz w:val="32"/>
          <w:szCs w:val="32"/>
        </w:rPr>
        <w:t>4.6348</w:t>
      </w:r>
      <w:r w:rsidRPr="00880F3E">
        <w:rPr>
          <w:rFonts w:ascii="仿宋_GB2312" w:eastAsia="仿宋_GB2312" w:hAnsiTheme="minorEastAsia" w:cstheme="minorBidi" w:hint="eastAsia"/>
          <w:sz w:val="32"/>
          <w:szCs w:val="32"/>
        </w:rPr>
        <w:t>公顷，其中：农用地</w:t>
      </w:r>
      <w:r w:rsidRPr="00880F3E">
        <w:rPr>
          <w:rFonts w:ascii="仿宋_GB2312" w:eastAsia="仿宋_GB2312" w:cs="Times New Roman" w:hint="eastAsia"/>
          <w:sz w:val="32"/>
          <w:szCs w:val="32"/>
        </w:rPr>
        <w:t>0.2932</w:t>
      </w:r>
      <w:r w:rsidRPr="00880F3E">
        <w:rPr>
          <w:rFonts w:ascii="仿宋_GB2312" w:eastAsia="仿宋_GB2312" w:hAnsiTheme="minorEastAsia" w:cstheme="minorBidi" w:hint="eastAsia"/>
          <w:sz w:val="32"/>
          <w:szCs w:val="32"/>
        </w:rPr>
        <w:t>公顷（耕地</w:t>
      </w:r>
      <w:r w:rsidRPr="00880F3E">
        <w:rPr>
          <w:rFonts w:ascii="仿宋_GB2312" w:eastAsia="仿宋_GB2312" w:cs="Times New Roman" w:hint="eastAsia"/>
          <w:sz w:val="32"/>
          <w:szCs w:val="32"/>
        </w:rPr>
        <w:t>0.0026</w:t>
      </w:r>
      <w:r w:rsidRPr="00880F3E">
        <w:rPr>
          <w:rFonts w:ascii="仿宋_GB2312" w:eastAsia="仿宋_GB2312" w:hAnsiTheme="minorEastAsia" w:cstheme="minorBidi" w:hint="eastAsia"/>
          <w:sz w:val="32"/>
          <w:szCs w:val="32"/>
        </w:rPr>
        <w:t>公顷），建设用地</w:t>
      </w:r>
      <w:r w:rsidRPr="00880F3E">
        <w:rPr>
          <w:rFonts w:ascii="仿宋_GB2312" w:eastAsia="仿宋_GB2312" w:cs="Times New Roman" w:hint="eastAsia"/>
          <w:sz w:val="32"/>
          <w:szCs w:val="32"/>
        </w:rPr>
        <w:t>4.3416</w:t>
      </w:r>
      <w:r w:rsidRPr="00880F3E">
        <w:rPr>
          <w:rFonts w:ascii="仿宋_GB2312" w:eastAsia="仿宋_GB2312" w:hAnsiTheme="minorEastAsia" w:cstheme="minorBidi" w:hint="eastAsia"/>
          <w:sz w:val="32"/>
          <w:szCs w:val="32"/>
        </w:rPr>
        <w:t>公顷，未利用地</w:t>
      </w:r>
      <w:r w:rsidRPr="00880F3E">
        <w:rPr>
          <w:rFonts w:ascii="仿宋_GB2312" w:eastAsia="仿宋_GB2312" w:cs="Times New Roman" w:hint="eastAsia"/>
          <w:sz w:val="32"/>
          <w:szCs w:val="32"/>
        </w:rPr>
        <w:t>0</w:t>
      </w:r>
      <w:r w:rsidRPr="00880F3E">
        <w:rPr>
          <w:rFonts w:ascii="仿宋_GB2312" w:eastAsia="仿宋_GB2312" w:hAnsiTheme="minorEastAsia" w:cstheme="minorBidi" w:hint="eastAsia"/>
          <w:sz w:val="32"/>
          <w:szCs w:val="32"/>
        </w:rPr>
        <w:t>公顷。</w:t>
      </w:r>
    </w:p>
    <w:p w:rsidR="00E774D6" w:rsidRPr="00573417" w:rsidRDefault="00B4466C" w:rsidP="007368F6">
      <w:pPr>
        <w:pStyle w:val="a6"/>
        <w:numPr>
          <w:ilvl w:val="0"/>
          <w:numId w:val="1"/>
        </w:numPr>
        <w:spacing w:line="590" w:lineRule="exact"/>
        <w:ind w:firstLineChars="0"/>
        <w:rPr>
          <w:rFonts w:ascii="黑体" w:eastAsia="黑体" w:hAnsi="黑体"/>
          <w:sz w:val="32"/>
          <w:szCs w:val="32"/>
        </w:rPr>
      </w:pPr>
      <w:r w:rsidRPr="00573417">
        <w:rPr>
          <w:rFonts w:ascii="黑体" w:eastAsia="黑体" w:hAnsi="黑体"/>
          <w:sz w:val="32"/>
          <w:szCs w:val="32"/>
        </w:rPr>
        <w:t>用地规划主要用途、实现功能</w:t>
      </w:r>
      <w:r w:rsidRPr="00573417">
        <w:rPr>
          <w:rFonts w:ascii="黑体" w:eastAsia="黑体" w:hAnsi="黑体" w:hint="eastAsia"/>
          <w:sz w:val="32"/>
          <w:szCs w:val="32"/>
        </w:rPr>
        <w:t>及</w:t>
      </w:r>
      <w:r w:rsidRPr="00573417">
        <w:rPr>
          <w:rFonts w:ascii="黑体" w:eastAsia="黑体" w:hAnsi="黑体"/>
          <w:sz w:val="32"/>
          <w:szCs w:val="32"/>
        </w:rPr>
        <w:t>公益性用地比例</w:t>
      </w:r>
    </w:p>
    <w:p w:rsidR="00E774D6" w:rsidRPr="00880F3E" w:rsidRDefault="00B4466C" w:rsidP="007A31AD">
      <w:pPr>
        <w:spacing w:line="590" w:lineRule="exact"/>
        <w:ind w:firstLineChars="200" w:firstLine="640"/>
        <w:rPr>
          <w:rFonts w:ascii="仿宋_GB2312" w:eastAsia="仿宋_GB2312" w:hAnsiTheme="minorEastAsia"/>
          <w:sz w:val="32"/>
          <w:szCs w:val="32"/>
        </w:rPr>
      </w:pPr>
      <w:r w:rsidRPr="00880F3E">
        <w:rPr>
          <w:rFonts w:ascii="仿宋_GB2312" w:eastAsia="仿宋_GB2312" w:hAnsiTheme="minorEastAsia" w:hint="eastAsia"/>
          <w:sz w:val="32"/>
          <w:szCs w:val="32"/>
        </w:rPr>
        <w:t>本方案用地总面积</w:t>
      </w:r>
      <w:r w:rsidRPr="00880F3E">
        <w:rPr>
          <w:rFonts w:ascii="仿宋_GB2312" w:eastAsia="仿宋_GB2312" w:hAnsi="Times New Roman" w:cs="Times New Roman" w:hint="eastAsia"/>
          <w:sz w:val="32"/>
          <w:szCs w:val="32"/>
        </w:rPr>
        <w:t>4.6348</w:t>
      </w:r>
      <w:r w:rsidRPr="00880F3E">
        <w:rPr>
          <w:rFonts w:ascii="仿宋_GB2312" w:eastAsia="仿宋_GB2312" w:hAnsiTheme="minorEastAsia" w:hint="eastAsia"/>
          <w:sz w:val="32"/>
          <w:szCs w:val="32"/>
        </w:rPr>
        <w:t>公顷，用途为交通运输用地、绿地与开敞空间用地、公用设施用地、仓储用地、工矿用地。其中交通运输用地</w:t>
      </w:r>
      <w:r w:rsidRPr="00880F3E">
        <w:rPr>
          <w:rFonts w:ascii="仿宋_GB2312" w:eastAsia="仿宋_GB2312" w:hAnsi="Times New Roman" w:cs="Times New Roman" w:hint="eastAsia"/>
          <w:sz w:val="32"/>
          <w:szCs w:val="32"/>
        </w:rPr>
        <w:t>1.2906</w:t>
      </w:r>
      <w:r w:rsidRPr="00880F3E">
        <w:rPr>
          <w:rFonts w:ascii="仿宋_GB2312" w:eastAsia="仿宋_GB2312" w:hAnsiTheme="minorEastAsia" w:hint="eastAsia"/>
          <w:sz w:val="32"/>
          <w:szCs w:val="32"/>
        </w:rPr>
        <w:t>公顷、绿地与开敞空间用地</w:t>
      </w:r>
      <w:r w:rsidRPr="00880F3E">
        <w:rPr>
          <w:rFonts w:ascii="仿宋_GB2312" w:eastAsia="仿宋_GB2312" w:hAnsi="Times New Roman" w:cs="Times New Roman" w:hint="eastAsia"/>
          <w:sz w:val="32"/>
          <w:szCs w:val="32"/>
        </w:rPr>
        <w:t>0.6130</w:t>
      </w:r>
      <w:r w:rsidRPr="00880F3E">
        <w:rPr>
          <w:rFonts w:ascii="仿宋_GB2312" w:eastAsia="仿宋_GB2312" w:hAnsiTheme="minorEastAsia" w:hint="eastAsia"/>
          <w:sz w:val="32"/>
          <w:szCs w:val="32"/>
        </w:rPr>
        <w:t>公顷、公用设施用地</w:t>
      </w:r>
      <w:r w:rsidRPr="00880F3E">
        <w:rPr>
          <w:rFonts w:ascii="仿宋_GB2312" w:eastAsia="仿宋_GB2312" w:hAnsi="Times New Roman" w:cs="Times New Roman" w:hint="eastAsia"/>
          <w:sz w:val="32"/>
          <w:szCs w:val="32"/>
        </w:rPr>
        <w:t>0.0324</w:t>
      </w:r>
      <w:r w:rsidRPr="00880F3E">
        <w:rPr>
          <w:rFonts w:ascii="仿宋_GB2312" w:eastAsia="仿宋_GB2312" w:hAnsiTheme="minorEastAsia" w:hint="eastAsia"/>
          <w:sz w:val="32"/>
          <w:szCs w:val="32"/>
        </w:rPr>
        <w:t>公顷、仓储用地</w:t>
      </w:r>
      <w:r w:rsidRPr="00880F3E">
        <w:rPr>
          <w:rFonts w:ascii="仿宋_GB2312" w:eastAsia="仿宋_GB2312" w:hAnsi="Times New Roman" w:cs="Times New Roman" w:hint="eastAsia"/>
          <w:sz w:val="32"/>
          <w:szCs w:val="32"/>
        </w:rPr>
        <w:t>0.6892</w:t>
      </w:r>
      <w:r w:rsidRPr="00880F3E">
        <w:rPr>
          <w:rFonts w:ascii="仿宋_GB2312" w:eastAsia="仿宋_GB2312" w:hAnsiTheme="minorEastAsia" w:hint="eastAsia"/>
          <w:sz w:val="32"/>
          <w:szCs w:val="32"/>
        </w:rPr>
        <w:t>公顷、工矿用地</w:t>
      </w:r>
      <w:r w:rsidRPr="00880F3E">
        <w:rPr>
          <w:rFonts w:ascii="仿宋_GB2312" w:eastAsia="仿宋_GB2312" w:hAnsi="Times New Roman" w:cs="Times New Roman" w:hint="eastAsia"/>
          <w:sz w:val="32"/>
          <w:szCs w:val="32"/>
        </w:rPr>
        <w:t>2.0096</w:t>
      </w:r>
      <w:r w:rsidRPr="00880F3E">
        <w:rPr>
          <w:rFonts w:ascii="仿宋_GB2312" w:eastAsia="仿宋_GB2312" w:hAnsiTheme="minorEastAsia" w:hint="eastAsia"/>
          <w:sz w:val="32"/>
          <w:szCs w:val="32"/>
        </w:rPr>
        <w:t>公顷。</w:t>
      </w:r>
      <w:bookmarkStart w:id="0" w:name="_GoBack"/>
      <w:bookmarkEnd w:id="0"/>
    </w:p>
    <w:p w:rsidR="00E7219D" w:rsidRDefault="00B4466C" w:rsidP="007A31AD">
      <w:pPr>
        <w:spacing w:line="590" w:lineRule="exact"/>
        <w:ind w:firstLineChars="200" w:firstLine="640"/>
        <w:rPr>
          <w:rFonts w:ascii="仿宋_GB2312" w:eastAsia="仿宋_GB2312" w:hAnsiTheme="minorEastAsia"/>
          <w:sz w:val="32"/>
          <w:szCs w:val="32"/>
        </w:rPr>
      </w:pPr>
      <w:r w:rsidRPr="00880F3E">
        <w:rPr>
          <w:rFonts w:ascii="仿宋_GB2312" w:eastAsia="仿宋_GB2312" w:hAnsiTheme="minorEastAsia" w:hint="eastAsia"/>
          <w:sz w:val="32"/>
          <w:szCs w:val="32"/>
        </w:rPr>
        <w:t>公益性用地包含交通运输用地用途、绿地与开敞空间用地用</w:t>
      </w:r>
      <w:r w:rsidRPr="00880F3E">
        <w:rPr>
          <w:rFonts w:ascii="仿宋_GB2312" w:eastAsia="仿宋_GB2312" w:hAnsiTheme="minorEastAsia" w:hint="eastAsia"/>
          <w:sz w:val="32"/>
          <w:szCs w:val="32"/>
        </w:rPr>
        <w:lastRenderedPageBreak/>
        <w:t>途、公用设施用地用途，合计</w:t>
      </w:r>
      <w:r w:rsidRPr="00880F3E">
        <w:rPr>
          <w:rFonts w:ascii="仿宋_GB2312" w:eastAsia="仿宋_GB2312" w:hAnsi="Times New Roman" w:cs="Times New Roman" w:hint="eastAsia"/>
          <w:sz w:val="32"/>
          <w:szCs w:val="32"/>
        </w:rPr>
        <w:t>1.9360</w:t>
      </w:r>
      <w:r w:rsidRPr="00880F3E">
        <w:rPr>
          <w:rFonts w:ascii="仿宋_GB2312" w:eastAsia="仿宋_GB2312" w:hAnsiTheme="minorEastAsia" w:hint="eastAsia"/>
          <w:sz w:val="32"/>
          <w:szCs w:val="32"/>
        </w:rPr>
        <w:t>公顷，占用地总面积的</w:t>
      </w:r>
      <w:r w:rsidRPr="00880F3E">
        <w:rPr>
          <w:rFonts w:ascii="仿宋_GB2312" w:eastAsia="仿宋_GB2312" w:hAnsi="Times New Roman" w:cs="Times New Roman" w:hint="eastAsia"/>
          <w:sz w:val="32"/>
          <w:szCs w:val="32"/>
        </w:rPr>
        <w:t>41.77%</w:t>
      </w:r>
      <w:r w:rsidRPr="00880F3E">
        <w:rPr>
          <w:rFonts w:ascii="仿宋_GB2312" w:eastAsia="仿宋_GB2312" w:hAnsiTheme="minorEastAsia" w:hint="eastAsia"/>
          <w:sz w:val="32"/>
          <w:szCs w:val="32"/>
        </w:rPr>
        <w:t>，符合自然资规</w:t>
      </w:r>
      <w:r w:rsidRPr="00880F3E">
        <w:rPr>
          <w:rFonts w:ascii="仿宋_GB2312" w:eastAsia="仿宋_GB2312" w:hAnsi="Times New Roman" w:cs="Times New Roman" w:hint="eastAsia"/>
          <w:sz w:val="32"/>
          <w:szCs w:val="32"/>
        </w:rPr>
        <w:t>〔2020〕5</w:t>
      </w:r>
      <w:r w:rsidRPr="00880F3E">
        <w:rPr>
          <w:rFonts w:ascii="仿宋_GB2312" w:eastAsia="仿宋_GB2312" w:hAnsiTheme="minorEastAsia" w:hint="eastAsia"/>
          <w:sz w:val="32"/>
          <w:szCs w:val="32"/>
        </w:rPr>
        <w:t>号文规定。</w:t>
      </w:r>
    </w:p>
    <w:p w:rsidR="00E774D6" w:rsidRPr="00573417" w:rsidRDefault="00B4466C" w:rsidP="00EC5C9B">
      <w:pPr>
        <w:pStyle w:val="a6"/>
        <w:numPr>
          <w:ilvl w:val="0"/>
          <w:numId w:val="1"/>
        </w:numPr>
        <w:spacing w:line="590" w:lineRule="exact"/>
        <w:ind w:firstLineChars="0"/>
        <w:rPr>
          <w:rFonts w:ascii="黑体" w:eastAsia="黑体" w:hAnsi="黑体"/>
          <w:sz w:val="32"/>
          <w:szCs w:val="32"/>
        </w:rPr>
      </w:pPr>
      <w:r w:rsidRPr="00573417">
        <w:rPr>
          <w:rFonts w:ascii="黑体" w:eastAsia="黑体" w:hAnsi="黑体"/>
          <w:sz w:val="32"/>
          <w:szCs w:val="32"/>
        </w:rPr>
        <w:t>实施计划</w:t>
      </w:r>
    </w:p>
    <w:p w:rsidR="00E774D6" w:rsidRPr="00880F3E" w:rsidRDefault="00B4466C" w:rsidP="00CC72DC">
      <w:pPr>
        <w:spacing w:line="590" w:lineRule="exact"/>
        <w:ind w:firstLineChars="200" w:firstLine="640"/>
        <w:rPr>
          <w:rFonts w:ascii="仿宋_GB2312" w:eastAsia="仿宋_GB2312" w:hAnsiTheme="minorEastAsia" w:cs="Times New Roman"/>
          <w:sz w:val="32"/>
          <w:szCs w:val="32"/>
        </w:rPr>
      </w:pPr>
      <w:r w:rsidRPr="00880F3E">
        <w:rPr>
          <w:rFonts w:ascii="仿宋_GB2312" w:eastAsia="仿宋_GB2312" w:hAnsiTheme="minorEastAsia" w:cs="Times New Roman" w:hint="eastAsia"/>
          <w:sz w:val="32"/>
          <w:szCs w:val="32"/>
        </w:rPr>
        <w:t>本方案用地总面积</w:t>
      </w:r>
      <w:r w:rsidRPr="00880F3E">
        <w:rPr>
          <w:rFonts w:ascii="仿宋_GB2312" w:eastAsia="仿宋_GB2312" w:hAnsi="Times New Roman" w:cs="Times New Roman" w:hint="eastAsia"/>
          <w:sz w:val="32"/>
          <w:szCs w:val="32"/>
        </w:rPr>
        <w:t>4.6348</w:t>
      </w:r>
      <w:r w:rsidRPr="00880F3E">
        <w:rPr>
          <w:rFonts w:ascii="仿宋_GB2312" w:eastAsia="仿宋_GB2312" w:hAnsiTheme="minorEastAsia" w:cs="Times New Roman" w:hint="eastAsia"/>
          <w:sz w:val="32"/>
          <w:szCs w:val="32"/>
        </w:rPr>
        <w:t>公顷，其中已实施土地面积为</w:t>
      </w:r>
      <w:r w:rsidRPr="00880F3E">
        <w:rPr>
          <w:rFonts w:ascii="仿宋_GB2312" w:eastAsia="仿宋_GB2312" w:hAnsi="Times New Roman" w:cs="Times New Roman" w:hint="eastAsia"/>
          <w:sz w:val="32"/>
          <w:szCs w:val="32"/>
        </w:rPr>
        <w:t>2.6370</w:t>
      </w:r>
      <w:r w:rsidRPr="00880F3E">
        <w:rPr>
          <w:rFonts w:ascii="仿宋_GB2312" w:eastAsia="仿宋_GB2312" w:hAnsiTheme="minorEastAsia" w:cs="Times New Roman" w:hint="eastAsia"/>
          <w:sz w:val="32"/>
          <w:szCs w:val="32"/>
        </w:rPr>
        <w:t>公顷，因此拟安排实施项目面积为</w:t>
      </w:r>
      <w:r w:rsidRPr="00880F3E">
        <w:rPr>
          <w:rFonts w:ascii="仿宋_GB2312" w:eastAsia="仿宋_GB2312" w:hAnsi="Times New Roman" w:cs="Times New Roman" w:hint="eastAsia"/>
          <w:sz w:val="32"/>
          <w:szCs w:val="32"/>
        </w:rPr>
        <w:t>1.9978</w:t>
      </w:r>
      <w:r w:rsidRPr="00880F3E">
        <w:rPr>
          <w:rFonts w:ascii="仿宋_GB2312" w:eastAsia="仿宋_GB2312" w:hAnsiTheme="minorEastAsia" w:cs="Times New Roman" w:hint="eastAsia"/>
          <w:sz w:val="32"/>
          <w:szCs w:val="32"/>
        </w:rPr>
        <w:t>公顷，计划实施周期为</w:t>
      </w:r>
      <w:r w:rsidRPr="00880F3E">
        <w:rPr>
          <w:rFonts w:ascii="仿宋_GB2312" w:eastAsia="仿宋_GB2312" w:hAnsi="Times New Roman" w:cs="Times New Roman" w:hint="eastAsia"/>
          <w:sz w:val="32"/>
          <w:szCs w:val="32"/>
        </w:rPr>
        <w:t>2022</w:t>
      </w:r>
      <w:r w:rsidRPr="00880F3E">
        <w:rPr>
          <w:rFonts w:ascii="仿宋_GB2312" w:eastAsia="仿宋_GB2312" w:hAnsiTheme="minorEastAsia" w:cs="Times New Roman" w:hint="eastAsia"/>
          <w:sz w:val="32"/>
          <w:szCs w:val="32"/>
        </w:rPr>
        <w:t>年</w:t>
      </w:r>
      <w:r w:rsidRPr="00880F3E">
        <w:rPr>
          <w:rFonts w:ascii="仿宋_GB2312" w:eastAsia="仿宋_GB2312" w:hAnsi="Times New Roman" w:cs="Times New Roman" w:hint="eastAsia"/>
          <w:sz w:val="32"/>
          <w:szCs w:val="32"/>
        </w:rPr>
        <w:t>-2024</w:t>
      </w:r>
      <w:r w:rsidRPr="00880F3E">
        <w:rPr>
          <w:rFonts w:ascii="仿宋_GB2312" w:eastAsia="仿宋_GB2312" w:hAnsiTheme="minorEastAsia" w:cs="Times New Roman" w:hint="eastAsia"/>
          <w:sz w:val="32"/>
          <w:szCs w:val="32"/>
        </w:rPr>
        <w:t>年，</w:t>
      </w:r>
      <w:r w:rsidRPr="00880F3E">
        <w:rPr>
          <w:rFonts w:ascii="仿宋_GB2312" w:eastAsia="仿宋_GB2312" w:hAnsi="Times New Roman" w:cs="Times New Roman" w:hint="eastAsia"/>
          <w:sz w:val="32"/>
          <w:szCs w:val="32"/>
        </w:rPr>
        <w:t>3</w:t>
      </w:r>
      <w:r w:rsidRPr="00880F3E">
        <w:rPr>
          <w:rFonts w:ascii="仿宋_GB2312" w:eastAsia="仿宋_GB2312" w:hAnsiTheme="minorEastAsia" w:cs="Times New Roman" w:hint="eastAsia"/>
          <w:sz w:val="32"/>
          <w:szCs w:val="32"/>
        </w:rPr>
        <w:t>年内实施完毕。</w:t>
      </w:r>
    </w:p>
    <w:p w:rsidR="00E774D6" w:rsidRPr="00880F3E" w:rsidRDefault="00B4466C" w:rsidP="00CC72DC">
      <w:pPr>
        <w:spacing w:line="590" w:lineRule="exact"/>
        <w:ind w:firstLineChars="200" w:firstLine="640"/>
        <w:rPr>
          <w:rFonts w:ascii="仿宋_GB2312" w:eastAsia="仿宋_GB2312" w:hAnsiTheme="minorEastAsia" w:cs="Times New Roman"/>
          <w:sz w:val="32"/>
          <w:szCs w:val="32"/>
        </w:rPr>
      </w:pPr>
      <w:r w:rsidRPr="00880F3E">
        <w:rPr>
          <w:rFonts w:ascii="仿宋_GB2312" w:eastAsia="仿宋_GB2312" w:hAnsiTheme="minorEastAsia" w:cs="Times New Roman" w:hint="eastAsia"/>
          <w:sz w:val="32"/>
          <w:szCs w:val="32"/>
        </w:rPr>
        <w:t>其中</w:t>
      </w:r>
      <w:r w:rsidRPr="00880F3E">
        <w:rPr>
          <w:rFonts w:ascii="仿宋_GB2312" w:eastAsia="仿宋_GB2312" w:hAnsi="Times New Roman" w:cs="Times New Roman" w:hint="eastAsia"/>
          <w:sz w:val="32"/>
          <w:szCs w:val="32"/>
        </w:rPr>
        <w:t>2022</w:t>
      </w:r>
      <w:r w:rsidRPr="00880F3E">
        <w:rPr>
          <w:rFonts w:ascii="仿宋_GB2312" w:eastAsia="仿宋_GB2312" w:hAnsiTheme="minorEastAsia" w:cs="Times New Roman" w:hint="eastAsia"/>
          <w:sz w:val="32"/>
          <w:szCs w:val="32"/>
        </w:rPr>
        <w:t>年实施面积为</w:t>
      </w:r>
      <w:r w:rsidRPr="00880F3E">
        <w:rPr>
          <w:rFonts w:ascii="仿宋_GB2312" w:eastAsia="仿宋_GB2312" w:hAnsi="Times New Roman" w:cs="Times New Roman" w:hint="eastAsia"/>
          <w:sz w:val="32"/>
          <w:szCs w:val="32"/>
        </w:rPr>
        <w:t>0.5016</w:t>
      </w:r>
      <w:r w:rsidRPr="00880F3E">
        <w:rPr>
          <w:rFonts w:ascii="仿宋_GB2312" w:eastAsia="仿宋_GB2312" w:hAnsiTheme="minorEastAsia" w:cs="Times New Roman" w:hint="eastAsia"/>
          <w:sz w:val="32"/>
          <w:szCs w:val="32"/>
        </w:rPr>
        <w:t>公顷，实施范围线西南侧的工业用地，完成比例</w:t>
      </w:r>
      <w:r w:rsidRPr="00880F3E">
        <w:rPr>
          <w:rFonts w:ascii="仿宋_GB2312" w:eastAsia="仿宋_GB2312" w:hAnsi="Times New Roman" w:cs="Times New Roman" w:hint="eastAsia"/>
          <w:sz w:val="32"/>
          <w:szCs w:val="32"/>
        </w:rPr>
        <w:t>25.11%</w:t>
      </w:r>
      <w:r w:rsidRPr="00880F3E">
        <w:rPr>
          <w:rFonts w:ascii="仿宋_GB2312" w:eastAsia="仿宋_GB2312" w:hAnsiTheme="minorEastAsia" w:cs="Times New Roman" w:hint="eastAsia"/>
          <w:sz w:val="32"/>
          <w:szCs w:val="32"/>
        </w:rPr>
        <w:t>。</w:t>
      </w:r>
    </w:p>
    <w:p w:rsidR="00E774D6" w:rsidRPr="00880F3E" w:rsidRDefault="00B4466C" w:rsidP="00CC72DC">
      <w:pPr>
        <w:spacing w:line="590" w:lineRule="exact"/>
        <w:ind w:firstLineChars="200" w:firstLine="640"/>
        <w:rPr>
          <w:rFonts w:ascii="仿宋_GB2312" w:eastAsia="仿宋_GB2312" w:hAnsiTheme="minorEastAsia" w:cs="Times New Roman"/>
          <w:sz w:val="32"/>
          <w:szCs w:val="32"/>
        </w:rPr>
      </w:pPr>
      <w:r w:rsidRPr="00880F3E">
        <w:rPr>
          <w:rFonts w:ascii="仿宋_GB2312" w:eastAsia="仿宋_GB2312" w:hAnsi="Times New Roman" w:cs="Times New Roman" w:hint="eastAsia"/>
          <w:sz w:val="32"/>
          <w:szCs w:val="32"/>
        </w:rPr>
        <w:t>2023</w:t>
      </w:r>
      <w:r w:rsidRPr="00880F3E">
        <w:rPr>
          <w:rFonts w:ascii="仿宋_GB2312" w:eastAsia="仿宋_GB2312" w:hAnsiTheme="minorEastAsia" w:cs="Times New Roman" w:hint="eastAsia"/>
          <w:sz w:val="32"/>
          <w:szCs w:val="32"/>
        </w:rPr>
        <w:t>年实施面积为</w:t>
      </w:r>
      <w:r w:rsidRPr="00880F3E">
        <w:rPr>
          <w:rFonts w:ascii="仿宋_GB2312" w:eastAsia="仿宋_GB2312" w:hAnsi="Times New Roman" w:cs="Times New Roman" w:hint="eastAsia"/>
          <w:sz w:val="32"/>
          <w:szCs w:val="32"/>
        </w:rPr>
        <w:t>0.6605</w:t>
      </w:r>
      <w:r w:rsidRPr="00880F3E">
        <w:rPr>
          <w:rFonts w:ascii="仿宋_GB2312" w:eastAsia="仿宋_GB2312" w:hAnsiTheme="minorEastAsia" w:cs="Times New Roman" w:hint="eastAsia"/>
          <w:sz w:val="32"/>
          <w:szCs w:val="32"/>
        </w:rPr>
        <w:t>公顷，实施范围线西南侧的工业用地，完成比例</w:t>
      </w:r>
      <w:r w:rsidRPr="00880F3E">
        <w:rPr>
          <w:rFonts w:ascii="仿宋_GB2312" w:eastAsia="仿宋_GB2312" w:hAnsi="Times New Roman" w:cs="Times New Roman" w:hint="eastAsia"/>
          <w:sz w:val="32"/>
          <w:szCs w:val="32"/>
        </w:rPr>
        <w:t>33.06%</w:t>
      </w:r>
      <w:r w:rsidRPr="00880F3E">
        <w:rPr>
          <w:rFonts w:ascii="仿宋_GB2312" w:eastAsia="仿宋_GB2312" w:hAnsiTheme="minorEastAsia" w:cs="Times New Roman" w:hint="eastAsia"/>
          <w:sz w:val="32"/>
          <w:szCs w:val="32"/>
        </w:rPr>
        <w:t>。</w:t>
      </w:r>
    </w:p>
    <w:p w:rsidR="00E774D6" w:rsidRPr="00880F3E" w:rsidRDefault="00B4466C" w:rsidP="00CC72DC">
      <w:pPr>
        <w:spacing w:line="590" w:lineRule="exact"/>
        <w:ind w:firstLineChars="200" w:firstLine="640"/>
        <w:rPr>
          <w:rFonts w:ascii="仿宋_GB2312" w:eastAsia="仿宋_GB2312" w:hAnsiTheme="minorEastAsia" w:cs="Times New Roman"/>
          <w:sz w:val="32"/>
          <w:szCs w:val="32"/>
        </w:rPr>
      </w:pPr>
      <w:r w:rsidRPr="00880F3E">
        <w:rPr>
          <w:rFonts w:ascii="仿宋_GB2312" w:eastAsia="仿宋_GB2312" w:hAnsi="Times New Roman" w:cs="Times New Roman" w:hint="eastAsia"/>
          <w:sz w:val="32"/>
          <w:szCs w:val="32"/>
        </w:rPr>
        <w:t>2024</w:t>
      </w:r>
      <w:r w:rsidRPr="00880F3E">
        <w:rPr>
          <w:rFonts w:ascii="仿宋_GB2312" w:eastAsia="仿宋_GB2312" w:hAnsiTheme="minorEastAsia" w:cs="Times New Roman" w:hint="eastAsia"/>
          <w:sz w:val="32"/>
          <w:szCs w:val="32"/>
        </w:rPr>
        <w:t>年实施面积为</w:t>
      </w:r>
      <w:r w:rsidRPr="00880F3E">
        <w:rPr>
          <w:rFonts w:ascii="仿宋_GB2312" w:eastAsia="仿宋_GB2312" w:hAnsi="Times New Roman" w:cs="Times New Roman" w:hint="eastAsia"/>
          <w:sz w:val="32"/>
          <w:szCs w:val="32"/>
        </w:rPr>
        <w:t>0.8357</w:t>
      </w:r>
      <w:r w:rsidRPr="00880F3E">
        <w:rPr>
          <w:rFonts w:ascii="仿宋_GB2312" w:eastAsia="仿宋_GB2312" w:hAnsiTheme="minorEastAsia" w:cs="Times New Roman" w:hint="eastAsia"/>
          <w:sz w:val="32"/>
          <w:szCs w:val="32"/>
        </w:rPr>
        <w:t>公顷，实施范围线西南侧的工业用地、防护绿地、城镇道路用地，完成比例</w:t>
      </w:r>
      <w:r w:rsidRPr="00880F3E">
        <w:rPr>
          <w:rFonts w:ascii="仿宋_GB2312" w:eastAsia="仿宋_GB2312" w:hAnsi="Times New Roman" w:cs="Times New Roman" w:hint="eastAsia"/>
          <w:sz w:val="32"/>
          <w:szCs w:val="32"/>
        </w:rPr>
        <w:t>41.83%</w:t>
      </w:r>
      <w:r w:rsidRPr="00880F3E">
        <w:rPr>
          <w:rFonts w:ascii="仿宋_GB2312" w:eastAsia="仿宋_GB2312" w:hAnsiTheme="minorEastAsia" w:cs="Times New Roman" w:hint="eastAsia"/>
          <w:sz w:val="32"/>
          <w:szCs w:val="32"/>
        </w:rPr>
        <w:t>。</w:t>
      </w:r>
    </w:p>
    <w:p w:rsidR="00E774D6" w:rsidRPr="00573417" w:rsidRDefault="00B4466C" w:rsidP="007368F6">
      <w:pPr>
        <w:pStyle w:val="a6"/>
        <w:numPr>
          <w:ilvl w:val="0"/>
          <w:numId w:val="1"/>
        </w:numPr>
        <w:spacing w:line="590" w:lineRule="exact"/>
        <w:ind w:firstLineChars="0"/>
        <w:rPr>
          <w:rFonts w:ascii="黑体" w:eastAsia="黑体" w:hAnsi="黑体"/>
          <w:sz w:val="32"/>
          <w:szCs w:val="32"/>
        </w:rPr>
      </w:pPr>
      <w:r w:rsidRPr="00573417">
        <w:rPr>
          <w:rFonts w:ascii="黑体" w:eastAsia="黑体" w:hAnsi="黑体"/>
          <w:sz w:val="32"/>
          <w:szCs w:val="32"/>
        </w:rPr>
        <w:t>征求意见情况</w:t>
      </w:r>
    </w:p>
    <w:p w:rsidR="00E774D6" w:rsidRPr="00880F3E" w:rsidRDefault="00B4466C" w:rsidP="00812FD9">
      <w:pPr>
        <w:spacing w:line="590" w:lineRule="exact"/>
        <w:ind w:firstLineChars="200" w:firstLine="640"/>
        <w:rPr>
          <w:rFonts w:ascii="仿宋_GB2312" w:eastAsia="仿宋_GB2312" w:hAnsiTheme="minorEastAsia"/>
          <w:sz w:val="32"/>
          <w:szCs w:val="32"/>
        </w:rPr>
      </w:pPr>
      <w:r w:rsidRPr="00880F3E">
        <w:rPr>
          <w:rFonts w:ascii="仿宋_GB2312" w:eastAsia="仿宋_GB2312" w:hAnsi="Times New Roman" w:cs="Times New Roman" w:hint="eastAsia"/>
          <w:sz w:val="32"/>
          <w:szCs w:val="32"/>
        </w:rPr>
        <w:t>2022</w:t>
      </w:r>
      <w:r w:rsidRPr="00880F3E">
        <w:rPr>
          <w:rFonts w:ascii="仿宋_GB2312" w:eastAsia="仿宋_GB2312" w:hAnsiTheme="minorEastAsia" w:hint="eastAsia"/>
          <w:sz w:val="32"/>
          <w:szCs w:val="32"/>
        </w:rPr>
        <w:t>年</w:t>
      </w:r>
      <w:r w:rsidRPr="00880F3E">
        <w:rPr>
          <w:rFonts w:ascii="仿宋_GB2312" w:eastAsia="仿宋_GB2312" w:hAnsi="Times New Roman" w:cs="Times New Roman" w:hint="eastAsia"/>
          <w:sz w:val="32"/>
          <w:szCs w:val="32"/>
        </w:rPr>
        <w:t>1</w:t>
      </w:r>
      <w:r w:rsidRPr="00880F3E">
        <w:rPr>
          <w:rFonts w:ascii="仿宋_GB2312" w:eastAsia="仿宋_GB2312" w:hAnsiTheme="minorEastAsia" w:hint="eastAsia"/>
          <w:sz w:val="32"/>
          <w:szCs w:val="32"/>
        </w:rPr>
        <w:t>月</w:t>
      </w:r>
      <w:r w:rsidRPr="00880F3E">
        <w:rPr>
          <w:rFonts w:ascii="仿宋_GB2312" w:eastAsia="仿宋_GB2312" w:hAnsi="Times New Roman" w:cs="Times New Roman" w:hint="eastAsia"/>
          <w:sz w:val="32"/>
          <w:szCs w:val="32"/>
        </w:rPr>
        <w:t>26</w:t>
      </w:r>
      <w:r w:rsidRPr="00880F3E">
        <w:rPr>
          <w:rFonts w:ascii="仿宋_GB2312" w:eastAsia="仿宋_GB2312" w:hAnsiTheme="minorEastAsia" w:hint="eastAsia"/>
          <w:sz w:val="32"/>
          <w:szCs w:val="32"/>
        </w:rPr>
        <w:t>日，尤溪县人民政府组织听取了人大代表、政协委员、社会公众和规划、环保、水利等相关专家学者的意见，经充分讨论，同意本方案。</w:t>
      </w:r>
    </w:p>
    <w:p w:rsidR="00E774D6" w:rsidRPr="00880F3E" w:rsidRDefault="00B4466C" w:rsidP="00812FD9">
      <w:pPr>
        <w:spacing w:line="590" w:lineRule="exact"/>
        <w:ind w:firstLineChars="200" w:firstLine="640"/>
        <w:rPr>
          <w:rFonts w:ascii="仿宋_GB2312" w:eastAsia="仿宋_GB2312" w:hAnsiTheme="minorEastAsia"/>
          <w:sz w:val="32"/>
          <w:szCs w:val="32"/>
        </w:rPr>
      </w:pPr>
      <w:r w:rsidRPr="00880F3E">
        <w:rPr>
          <w:rFonts w:ascii="仿宋_GB2312" w:eastAsia="仿宋_GB2312" w:hAnsiTheme="minorEastAsia" w:hint="eastAsia"/>
          <w:sz w:val="32"/>
          <w:szCs w:val="32"/>
        </w:rPr>
        <w:t>本方案已征求成片开发范围内涉及的尤溪县城关镇石路村集体经济组织的意见，达到三分之二以上村民代表同意的规定。</w:t>
      </w:r>
    </w:p>
    <w:p w:rsidR="00E774D6" w:rsidRPr="00573417" w:rsidRDefault="00B4466C" w:rsidP="007368F6">
      <w:pPr>
        <w:pStyle w:val="a6"/>
        <w:numPr>
          <w:ilvl w:val="0"/>
          <w:numId w:val="1"/>
        </w:numPr>
        <w:spacing w:line="590" w:lineRule="exact"/>
        <w:ind w:firstLineChars="0"/>
        <w:rPr>
          <w:rFonts w:ascii="黑体" w:eastAsia="黑体" w:hAnsi="黑体"/>
          <w:sz w:val="32"/>
          <w:szCs w:val="32"/>
        </w:rPr>
      </w:pPr>
      <w:r w:rsidRPr="00573417">
        <w:rPr>
          <w:rFonts w:ascii="黑体" w:eastAsia="黑体" w:hAnsi="黑体"/>
          <w:sz w:val="32"/>
          <w:szCs w:val="32"/>
        </w:rPr>
        <w:t>结论</w:t>
      </w:r>
    </w:p>
    <w:p w:rsidR="00E774D6" w:rsidRPr="00880F3E" w:rsidRDefault="00B4466C" w:rsidP="00E91090">
      <w:pPr>
        <w:widowControl/>
        <w:spacing w:line="590" w:lineRule="exact"/>
        <w:ind w:firstLineChars="200" w:firstLine="640"/>
        <w:rPr>
          <w:rFonts w:ascii="仿宋_GB2312" w:eastAsia="仿宋_GB2312" w:hAnsi="仿宋" w:cs="Times New Roman"/>
          <w:bCs/>
          <w:kern w:val="44"/>
          <w:sz w:val="32"/>
          <w:szCs w:val="32"/>
        </w:rPr>
      </w:pPr>
      <w:r w:rsidRPr="00880F3E">
        <w:rPr>
          <w:rFonts w:ascii="仿宋_GB2312" w:eastAsia="仿宋_GB2312" w:hAnsiTheme="minorEastAsia" w:hint="eastAsia"/>
          <w:sz w:val="32"/>
          <w:szCs w:val="32"/>
        </w:rPr>
        <w:t>综上所述，</w:t>
      </w:r>
      <w:r w:rsidRPr="00880F3E">
        <w:rPr>
          <w:rFonts w:ascii="仿宋_GB2312" w:eastAsia="仿宋_GB2312" w:hAnsi="仿宋" w:cs="Times New Roman" w:hint="eastAsia"/>
          <w:bCs/>
          <w:kern w:val="44"/>
          <w:sz w:val="32"/>
          <w:szCs w:val="32"/>
        </w:rPr>
        <w:t>本土地征收成片开发方案符合国民经济和社会发展规划、专项规划、在土地利用总体规划确定的城镇建设用地范围内，已纳入国民经济和社会发展年度计划，符合部省规定的标</w:t>
      </w:r>
      <w:r w:rsidRPr="00880F3E">
        <w:rPr>
          <w:rFonts w:ascii="仿宋_GB2312" w:eastAsia="仿宋_GB2312" w:hAnsi="仿宋" w:cs="Times New Roman" w:hint="eastAsia"/>
          <w:bCs/>
          <w:kern w:val="44"/>
          <w:sz w:val="32"/>
          <w:szCs w:val="32"/>
        </w:rPr>
        <w:lastRenderedPageBreak/>
        <w:t>准，做到了保护耕地、维护农民合法权益、节约集约用地、保护生态环境，能够促进经济社会可持续发展。</w:t>
      </w:r>
    </w:p>
    <w:p w:rsidR="00E774D6" w:rsidRPr="00573417" w:rsidRDefault="00E774D6">
      <w:pPr>
        <w:widowControl/>
        <w:spacing w:line="580" w:lineRule="exact"/>
        <w:ind w:firstLine="560"/>
        <w:rPr>
          <w:rFonts w:ascii="仿宋" w:hAnsi="仿宋" w:cs="Times New Roman"/>
          <w:bCs/>
          <w:kern w:val="44"/>
          <w:sz w:val="32"/>
          <w:szCs w:val="32"/>
        </w:rPr>
      </w:pPr>
    </w:p>
    <w:p w:rsidR="00E774D6" w:rsidRDefault="00E774D6">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0C4B65" w:rsidRDefault="000C4B65">
      <w:pPr>
        <w:widowControl/>
        <w:spacing w:line="580" w:lineRule="exact"/>
        <w:ind w:firstLine="560"/>
        <w:rPr>
          <w:rFonts w:ascii="仿宋" w:hAnsi="仿宋" w:cs="Times New Roman"/>
          <w:bCs/>
          <w:kern w:val="44"/>
          <w:sz w:val="28"/>
          <w:szCs w:val="28"/>
        </w:rPr>
      </w:pPr>
    </w:p>
    <w:p w:rsidR="001E49A5" w:rsidRDefault="001E49A5">
      <w:pPr>
        <w:widowControl/>
        <w:spacing w:line="580" w:lineRule="exact"/>
        <w:ind w:firstLine="560"/>
        <w:rPr>
          <w:rFonts w:ascii="仿宋" w:hAnsi="仿宋" w:cs="Times New Roman"/>
          <w:bCs/>
          <w:kern w:val="44"/>
          <w:sz w:val="28"/>
          <w:szCs w:val="28"/>
        </w:rPr>
      </w:pPr>
    </w:p>
    <w:p w:rsidR="00E774D6" w:rsidRPr="001E49A5" w:rsidRDefault="00B4466C" w:rsidP="001E49A5">
      <w:pPr>
        <w:rPr>
          <w:rFonts w:asciiTheme="minorEastAsia" w:hAnsiTheme="minorEastAsia"/>
          <w:sz w:val="28"/>
          <w:szCs w:val="28"/>
        </w:rPr>
      </w:pPr>
      <w:r>
        <w:rPr>
          <w:rFonts w:hint="eastAsia"/>
          <w:noProof/>
        </w:rPr>
        <w:lastRenderedPageBreak/>
        <w:drawing>
          <wp:anchor distT="0" distB="0" distL="114300" distR="114300" simplePos="0" relativeHeight="251659264" behindDoc="0" locked="0" layoutInCell="1" allowOverlap="1">
            <wp:simplePos x="0" y="0"/>
            <wp:positionH relativeFrom="margin">
              <wp:posOffset>-476250</wp:posOffset>
            </wp:positionH>
            <wp:positionV relativeFrom="paragraph">
              <wp:posOffset>247650</wp:posOffset>
            </wp:positionV>
            <wp:extent cx="5924550" cy="8371840"/>
            <wp:effectExtent l="0" t="0" r="63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24336" cy="8371916"/>
                    </a:xfrm>
                    <a:prstGeom prst="rect">
                      <a:avLst/>
                    </a:prstGeom>
                  </pic:spPr>
                </pic:pic>
              </a:graphicData>
            </a:graphic>
          </wp:anchor>
        </w:drawing>
      </w:r>
    </w:p>
    <w:sectPr w:rsidR="00E774D6" w:rsidRPr="001E49A5" w:rsidSect="008156E3">
      <w:pgSz w:w="11906" w:h="16838"/>
      <w:pgMar w:top="1928" w:right="1531" w:bottom="1758"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E67A2A"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C469C"/>
    <w:multiLevelType w:val="multilevel"/>
    <w:tmpl w:val="418C469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392650"/>
    <w:multiLevelType w:val="multilevel"/>
    <w:tmpl w:val="6F392650"/>
    <w:lvl w:ilvl="0">
      <w:start w:val="1"/>
      <w:numFmt w:val="japaneseCounting"/>
      <w:lvlText w:val="（%1）"/>
      <w:lvlJc w:val="left"/>
      <w:pPr>
        <w:ind w:left="1575" w:hanging="855"/>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kwNGRkNjk1YzA4OWE4ZmMyOTdlMDlkMWE0NTYzNGUifQ=="/>
  </w:docVars>
  <w:rsids>
    <w:rsidRoot w:val="00787325"/>
    <w:rsid w:val="00001B72"/>
    <w:rsid w:val="000210F7"/>
    <w:rsid w:val="000579EA"/>
    <w:rsid w:val="00070623"/>
    <w:rsid w:val="00074DD1"/>
    <w:rsid w:val="000C4B65"/>
    <w:rsid w:val="000E7214"/>
    <w:rsid w:val="00103CB4"/>
    <w:rsid w:val="001160A6"/>
    <w:rsid w:val="001210BA"/>
    <w:rsid w:val="001B7680"/>
    <w:rsid w:val="001B7753"/>
    <w:rsid w:val="001E49A5"/>
    <w:rsid w:val="00221398"/>
    <w:rsid w:val="002608E7"/>
    <w:rsid w:val="00267F26"/>
    <w:rsid w:val="002D47D8"/>
    <w:rsid w:val="00353CD4"/>
    <w:rsid w:val="00365CF3"/>
    <w:rsid w:val="00391816"/>
    <w:rsid w:val="003E55FF"/>
    <w:rsid w:val="003E7E90"/>
    <w:rsid w:val="00416F68"/>
    <w:rsid w:val="00457A00"/>
    <w:rsid w:val="00484228"/>
    <w:rsid w:val="00490843"/>
    <w:rsid w:val="004C20B5"/>
    <w:rsid w:val="00560F80"/>
    <w:rsid w:val="00562C1F"/>
    <w:rsid w:val="00573417"/>
    <w:rsid w:val="00576AB4"/>
    <w:rsid w:val="00591C54"/>
    <w:rsid w:val="005D76E6"/>
    <w:rsid w:val="005E45AE"/>
    <w:rsid w:val="005F4834"/>
    <w:rsid w:val="007050F4"/>
    <w:rsid w:val="00720BBE"/>
    <w:rsid w:val="007368F6"/>
    <w:rsid w:val="00787325"/>
    <w:rsid w:val="007A31AD"/>
    <w:rsid w:val="007C5C6A"/>
    <w:rsid w:val="007C5DAD"/>
    <w:rsid w:val="007E393D"/>
    <w:rsid w:val="00805EF5"/>
    <w:rsid w:val="00812FD9"/>
    <w:rsid w:val="008156E3"/>
    <w:rsid w:val="008228CA"/>
    <w:rsid w:val="00824C0F"/>
    <w:rsid w:val="00857DB3"/>
    <w:rsid w:val="00860341"/>
    <w:rsid w:val="00880F3E"/>
    <w:rsid w:val="00913CC4"/>
    <w:rsid w:val="00941D61"/>
    <w:rsid w:val="009534E2"/>
    <w:rsid w:val="00953CC7"/>
    <w:rsid w:val="00AC2D10"/>
    <w:rsid w:val="00AC5912"/>
    <w:rsid w:val="00B0749E"/>
    <w:rsid w:val="00B4466C"/>
    <w:rsid w:val="00C07A42"/>
    <w:rsid w:val="00C452F2"/>
    <w:rsid w:val="00C63933"/>
    <w:rsid w:val="00CC72DC"/>
    <w:rsid w:val="00D979A5"/>
    <w:rsid w:val="00D97CC9"/>
    <w:rsid w:val="00DA4960"/>
    <w:rsid w:val="00E42B4D"/>
    <w:rsid w:val="00E57FF6"/>
    <w:rsid w:val="00E7219D"/>
    <w:rsid w:val="00E774D6"/>
    <w:rsid w:val="00E81008"/>
    <w:rsid w:val="00E8730F"/>
    <w:rsid w:val="00E91090"/>
    <w:rsid w:val="00EC4AD5"/>
    <w:rsid w:val="00EC5C9B"/>
    <w:rsid w:val="00F016DC"/>
    <w:rsid w:val="00FB208E"/>
    <w:rsid w:val="00FD21B7"/>
    <w:rsid w:val="00FF58E1"/>
    <w:rsid w:val="7F4C5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F016DC"/>
    <w:pPr>
      <w:spacing w:line="580" w:lineRule="exact"/>
      <w:ind w:firstLineChars="200" w:firstLine="964"/>
      <w:jc w:val="left"/>
    </w:pPr>
    <w:rPr>
      <w:rFonts w:ascii="Times New Roman" w:eastAsia="仿宋" w:hAnsi="Times New Roman" w:cs="仿宋"/>
      <w:sz w:val="28"/>
      <w:szCs w:val="28"/>
    </w:rPr>
  </w:style>
  <w:style w:type="paragraph" w:styleId="a4">
    <w:name w:val="footer"/>
    <w:basedOn w:val="a"/>
    <w:link w:val="Char0"/>
    <w:uiPriority w:val="99"/>
    <w:unhideWhenUsed/>
    <w:rsid w:val="00F016DC"/>
    <w:pPr>
      <w:tabs>
        <w:tab w:val="center" w:pos="4153"/>
        <w:tab w:val="right" w:pos="8306"/>
      </w:tabs>
      <w:snapToGrid w:val="0"/>
      <w:jc w:val="left"/>
    </w:pPr>
    <w:rPr>
      <w:sz w:val="18"/>
      <w:szCs w:val="18"/>
    </w:rPr>
  </w:style>
  <w:style w:type="paragraph" w:styleId="a5">
    <w:name w:val="header"/>
    <w:basedOn w:val="a"/>
    <w:link w:val="Char1"/>
    <w:uiPriority w:val="99"/>
    <w:unhideWhenUsed/>
    <w:rsid w:val="00F016DC"/>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F016DC"/>
    <w:pPr>
      <w:ind w:firstLineChars="200" w:firstLine="420"/>
    </w:pPr>
  </w:style>
  <w:style w:type="character" w:customStyle="1" w:styleId="Char">
    <w:name w:val="批注文字 Char"/>
    <w:basedOn w:val="a0"/>
    <w:link w:val="a3"/>
    <w:uiPriority w:val="99"/>
    <w:qFormat/>
    <w:rsid w:val="00F016DC"/>
    <w:rPr>
      <w:rFonts w:ascii="Times New Roman" w:eastAsia="仿宋" w:hAnsi="Times New Roman" w:cs="仿宋"/>
      <w:sz w:val="28"/>
      <w:szCs w:val="28"/>
    </w:rPr>
  </w:style>
  <w:style w:type="character" w:customStyle="1" w:styleId="Char1">
    <w:name w:val="页眉 Char"/>
    <w:basedOn w:val="a0"/>
    <w:link w:val="a5"/>
    <w:uiPriority w:val="99"/>
    <w:rsid w:val="00F016DC"/>
    <w:rPr>
      <w:sz w:val="18"/>
      <w:szCs w:val="18"/>
    </w:rPr>
  </w:style>
  <w:style w:type="character" w:customStyle="1" w:styleId="Char0">
    <w:name w:val="页脚 Char"/>
    <w:basedOn w:val="a0"/>
    <w:link w:val="a4"/>
    <w:uiPriority w:val="99"/>
    <w:rsid w:val="00F016DC"/>
    <w:rPr>
      <w:sz w:val="18"/>
      <w:szCs w:val="18"/>
    </w:rPr>
  </w:style>
  <w:style w:type="character" w:styleId="a7">
    <w:name w:val="annotation reference"/>
    <w:basedOn w:val="a0"/>
    <w:uiPriority w:val="99"/>
    <w:semiHidden/>
    <w:unhideWhenUsed/>
    <w:rsid w:val="00F016DC"/>
    <w:rPr>
      <w:sz w:val="21"/>
      <w:szCs w:val="21"/>
    </w:rPr>
  </w:style>
  <w:style w:type="paragraph" w:styleId="a8">
    <w:name w:val="Balloon Text"/>
    <w:basedOn w:val="a"/>
    <w:link w:val="Char2"/>
    <w:uiPriority w:val="99"/>
    <w:semiHidden/>
    <w:unhideWhenUsed/>
    <w:rsid w:val="00B4466C"/>
    <w:rPr>
      <w:sz w:val="18"/>
      <w:szCs w:val="18"/>
    </w:rPr>
  </w:style>
  <w:style w:type="character" w:customStyle="1" w:styleId="Char2">
    <w:name w:val="批注框文本 Char"/>
    <w:basedOn w:val="a0"/>
    <w:link w:val="a8"/>
    <w:uiPriority w:val="99"/>
    <w:semiHidden/>
    <w:rsid w:val="00B4466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spacing w:line="580" w:lineRule="exact"/>
      <w:ind w:firstLineChars="200" w:firstLine="964"/>
      <w:jc w:val="left"/>
    </w:pPr>
    <w:rPr>
      <w:rFonts w:ascii="Times New Roman" w:eastAsia="仿宋" w:hAnsi="Times New Roman" w:cs="仿宋"/>
      <w:sz w:val="28"/>
      <w:szCs w:val="2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
    <w:name w:val="批注文字 Char"/>
    <w:basedOn w:val="a0"/>
    <w:link w:val="a3"/>
    <w:uiPriority w:val="99"/>
    <w:qFormat/>
    <w:rPr>
      <w:rFonts w:ascii="Times New Roman" w:eastAsia="仿宋" w:hAnsi="Times New Roman" w:cs="仿宋"/>
      <w:sz w:val="28"/>
      <w:szCs w:val="2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7">
    <w:name w:val="annotation reference"/>
    <w:basedOn w:val="a0"/>
    <w:uiPriority w:val="99"/>
    <w:semiHidden/>
    <w:unhideWhenUsed/>
    <w:rPr>
      <w:sz w:val="21"/>
      <w:szCs w:val="21"/>
    </w:rPr>
  </w:style>
  <w:style w:type="paragraph" w:styleId="a8">
    <w:name w:val="Balloon Text"/>
    <w:basedOn w:val="a"/>
    <w:link w:val="Char2"/>
    <w:uiPriority w:val="99"/>
    <w:semiHidden/>
    <w:unhideWhenUsed/>
    <w:rsid w:val="00B4466C"/>
    <w:rPr>
      <w:sz w:val="18"/>
      <w:szCs w:val="18"/>
    </w:rPr>
  </w:style>
  <w:style w:type="character" w:customStyle="1" w:styleId="Char2">
    <w:name w:val="批注框文本 Char"/>
    <w:basedOn w:val="a0"/>
    <w:link w:val="a8"/>
    <w:uiPriority w:val="99"/>
    <w:semiHidden/>
    <w:rsid w:val="00B446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1CAC52-9F9C-45A9-A6F6-16E68ED8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150</Words>
  <Characters>857</Characters>
  <Application>Microsoft Office Word</Application>
  <DocSecurity>0</DocSecurity>
  <Lines>7</Lines>
  <Paragraphs>2</Paragraphs>
  <ScaleCrop>false</ScaleCrop>
  <Company>Kingdom</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109</cp:revision>
  <dcterms:created xsi:type="dcterms:W3CDTF">2022-02-17T00:03:00Z</dcterms:created>
  <dcterms:modified xsi:type="dcterms:W3CDTF">2022-06-21T08:27:00Z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2E560844C3F849C1A3009265D6CE6D5C</vt:lpwstr>
  </property>
</Properties>
</file>