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ind w:left="0" w:leftChars="0" w:firstLine="0" w:firstLineChars="0"/>
        <w:rPr>
          <w:rFonts w:hint="default" w:ascii="Times New Roman" w:hAnsi="Times New Roman" w:cs="Times New Roman"/>
          <w:color w:val="auto"/>
          <w:highlight w:val="none"/>
        </w:rPr>
      </w:pP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val="0"/>
        <w:topLinePunct w:val="0"/>
        <w:autoSpaceDE/>
        <w:autoSpaceDN/>
        <w:bidi w:val="0"/>
        <w:adjustRightInd w:val="0"/>
        <w:snapToGrid w:val="0"/>
        <w:spacing w:line="800" w:lineRule="exact"/>
        <w:ind w:firstLine="0" w:firstLineChars="0"/>
        <w:jc w:val="center"/>
        <w:textAlignment w:val="auto"/>
        <w:rPr>
          <w:rFonts w:hint="default" w:ascii="方正小标宋_GBK" w:hAnsi="Bahnschrift SemiLight SemiConde" w:eastAsia="方正小标宋_GBK" w:cs="Bahnschrift SemiLight SemiConde"/>
          <w:b/>
          <w:bCs/>
          <w:kern w:val="0"/>
          <w:sz w:val="48"/>
          <w:szCs w:val="48"/>
        </w:rPr>
      </w:pP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val="0"/>
        <w:topLinePunct w:val="0"/>
        <w:autoSpaceDE/>
        <w:autoSpaceDN/>
        <w:bidi w:val="0"/>
        <w:adjustRightInd w:val="0"/>
        <w:snapToGrid w:val="0"/>
        <w:spacing w:line="800" w:lineRule="exact"/>
        <w:ind w:firstLine="0" w:firstLineChars="0"/>
        <w:jc w:val="both"/>
        <w:textAlignment w:val="auto"/>
        <w:rPr>
          <w:rFonts w:hint="default" w:ascii="方正小标宋_GBK" w:hAnsi="Bahnschrift SemiLight SemiConde" w:eastAsia="方正小标宋_GBK" w:cs="Bahnschrift SemiLight SemiConde"/>
          <w:b/>
          <w:bCs/>
          <w:kern w:val="0"/>
          <w:sz w:val="48"/>
          <w:szCs w:val="48"/>
        </w:rPr>
      </w:pPr>
    </w:p>
    <w:p>
      <w:pPr>
        <w:pStyle w:val="2"/>
        <w:rPr>
          <w:rFonts w:hint="default" w:ascii="方正小标宋_GBK" w:hAnsi="Bahnschrift SemiLight SemiConde" w:eastAsia="方正小标宋_GBK" w:cs="Bahnschrift SemiLight SemiConde"/>
          <w:b/>
          <w:bCs/>
          <w:kern w:val="0"/>
          <w:sz w:val="48"/>
          <w:szCs w:val="48"/>
        </w:rPr>
      </w:pPr>
    </w:p>
    <w:p>
      <w:pPr>
        <w:pStyle w:val="2"/>
        <w:rPr>
          <w:rFonts w:hint="default" w:ascii="方正小标宋_GBK" w:hAnsi="Bahnschrift SemiLight SemiConde" w:eastAsia="方正小标宋_GBK" w:cs="Bahnschrift SemiLight SemiConde"/>
          <w:b/>
          <w:bCs/>
          <w:kern w:val="0"/>
          <w:sz w:val="48"/>
          <w:szCs w:val="48"/>
        </w:rPr>
      </w:pP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val="0"/>
        <w:topLinePunct w:val="0"/>
        <w:autoSpaceDE/>
        <w:autoSpaceDN/>
        <w:bidi w:val="0"/>
        <w:adjustRightInd w:val="0"/>
        <w:snapToGrid w:val="0"/>
        <w:spacing w:line="800" w:lineRule="exact"/>
        <w:ind w:firstLine="0" w:firstLineChars="0"/>
        <w:jc w:val="center"/>
        <w:textAlignment w:val="auto"/>
        <w:rPr>
          <w:rFonts w:hint="default" w:ascii="方正小标宋_GBK" w:hAnsi="Bahnschrift SemiLight SemiConde" w:eastAsia="方正小标宋_GBK" w:cs="Bahnschrift SemiLight SemiConde"/>
          <w:b/>
          <w:bCs/>
          <w:kern w:val="0"/>
          <w:sz w:val="48"/>
          <w:szCs w:val="48"/>
        </w:rPr>
      </w:pPr>
      <w:r>
        <w:rPr>
          <w:rFonts w:hint="default" w:ascii="方正小标宋_GBK" w:hAnsi="Bahnschrift SemiLight SemiConde" w:eastAsia="方正小标宋_GBK" w:cs="Bahnschrift SemiLight SemiConde"/>
          <w:b/>
          <w:bCs/>
          <w:kern w:val="0"/>
          <w:sz w:val="48"/>
          <w:szCs w:val="48"/>
        </w:rPr>
        <w:t>尤溪县国民经济和社会发展</w:t>
      </w:r>
    </w:p>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val="0"/>
        <w:topLinePunct w:val="0"/>
        <w:autoSpaceDE/>
        <w:autoSpaceDN/>
        <w:bidi w:val="0"/>
        <w:adjustRightInd w:val="0"/>
        <w:snapToGrid w:val="0"/>
        <w:spacing w:line="800" w:lineRule="exact"/>
        <w:ind w:firstLine="0" w:firstLineChars="0"/>
        <w:jc w:val="center"/>
        <w:textAlignment w:val="auto"/>
        <w:rPr>
          <w:rFonts w:hint="default" w:ascii="方正小标宋_GBK" w:hAnsi="Bahnschrift SemiLight SemiConde" w:eastAsia="方正小标宋_GBK" w:cs="Bahnschrift SemiLight SemiConde"/>
          <w:b/>
          <w:bCs/>
          <w:kern w:val="0"/>
          <w:sz w:val="48"/>
          <w:szCs w:val="48"/>
        </w:rPr>
      </w:pPr>
      <w:r>
        <w:rPr>
          <w:rFonts w:hint="default" w:ascii="方正小标宋_GBK" w:hAnsi="Bahnschrift SemiLight SemiConde" w:eastAsia="方正小标宋_GBK" w:cs="Bahnschrift SemiLight SemiConde"/>
          <w:b/>
          <w:bCs/>
          <w:kern w:val="0"/>
          <w:sz w:val="48"/>
          <w:szCs w:val="48"/>
        </w:rPr>
        <w:t>第十五个五年规划纲要</w:t>
      </w:r>
    </w:p>
    <w:p>
      <w:pPr>
        <w:pStyle w:val="2"/>
        <w:ind w:left="0" w:leftChars="0" w:firstLine="0" w:firstLineChars="0"/>
        <w:rPr>
          <w:rFonts w:hint="default"/>
        </w:rPr>
      </w:pPr>
    </w:p>
    <w:p>
      <w:pPr>
        <w:ind w:firstLine="195" w:firstLineChars="27"/>
        <w:jc w:val="center"/>
        <w:rPr>
          <w:rFonts w:hint="default" w:ascii="宋体" w:hAnsi="Courier New" w:eastAsia="仿宋_GB2312" w:cs="仿宋_GB2312"/>
          <w:kern w:val="2"/>
          <w:sz w:val="36"/>
          <w:szCs w:val="36"/>
          <w:lang w:val="en-US" w:eastAsia="zh-CN" w:bidi="ar-SA"/>
        </w:rPr>
      </w:pPr>
      <w:r>
        <w:rPr>
          <w:rFonts w:hint="eastAsia" w:ascii="Times New Roman" w:hAnsi="Times New Roman" w:eastAsia="黑体" w:cs="Times New Roman"/>
          <w:b/>
          <w:bCs/>
          <w:color w:val="auto"/>
          <w:sz w:val="72"/>
          <w:szCs w:val="72"/>
          <w:highlight w:val="none"/>
          <w:lang w:val="en-US" w:eastAsia="zh-CN"/>
        </w:rPr>
        <w:t xml:space="preserve"> </w:t>
      </w:r>
      <w:r>
        <w:rPr>
          <w:rFonts w:hint="eastAsia" w:ascii="仿宋_GB2312" w:hAnsi="仿宋_GB2312" w:eastAsia="仿宋_GB2312" w:cs="仿宋_GB2312"/>
          <w:kern w:val="2"/>
          <w:sz w:val="36"/>
          <w:szCs w:val="36"/>
          <w:lang w:val="en-US" w:eastAsia="zh-CN" w:bidi="ar-SA"/>
        </w:rPr>
        <w:t>2025年12月29日</w:t>
      </w:r>
      <w:r>
        <w:rPr>
          <w:rFonts w:hint="default" w:ascii="宋体" w:hAnsi="Courier New" w:eastAsia="仿宋_GB2312" w:cs="仿宋_GB2312"/>
          <w:kern w:val="2"/>
          <w:sz w:val="36"/>
          <w:szCs w:val="36"/>
          <w:lang w:val="en-US" w:eastAsia="zh-CN" w:bidi="ar-SA"/>
        </w:rPr>
        <w:t>县</w:t>
      </w:r>
      <w:r>
        <w:rPr>
          <w:rFonts w:hint="eastAsia" w:ascii="宋体" w:hAnsi="Courier New" w:eastAsia="仿宋_GB2312" w:cs="仿宋_GB2312"/>
          <w:kern w:val="2"/>
          <w:sz w:val="36"/>
          <w:szCs w:val="36"/>
          <w:lang w:val="en-US" w:eastAsia="zh-CN" w:bidi="ar-SA"/>
        </w:rPr>
        <w:t>十八</w:t>
      </w:r>
      <w:r>
        <w:rPr>
          <w:rFonts w:hint="default" w:ascii="宋体" w:hAnsi="Courier New" w:eastAsia="仿宋_GB2312" w:cs="仿宋_GB2312"/>
          <w:kern w:val="2"/>
          <w:sz w:val="36"/>
          <w:szCs w:val="36"/>
          <w:lang w:val="en-US" w:eastAsia="zh-CN" w:bidi="ar-SA"/>
        </w:rPr>
        <w:t>届人大</w:t>
      </w:r>
      <w:r>
        <w:rPr>
          <w:rFonts w:hint="eastAsia" w:ascii="宋体" w:hAnsi="Courier New" w:eastAsia="仿宋_GB2312" w:cs="仿宋_GB2312"/>
          <w:kern w:val="2"/>
          <w:sz w:val="36"/>
          <w:szCs w:val="36"/>
          <w:lang w:val="en-US" w:eastAsia="zh-CN" w:bidi="ar-SA"/>
        </w:rPr>
        <w:t>六次</w:t>
      </w:r>
      <w:r>
        <w:rPr>
          <w:rFonts w:hint="default" w:ascii="宋体" w:hAnsi="Courier New" w:eastAsia="仿宋_GB2312" w:cs="仿宋_GB2312"/>
          <w:kern w:val="2"/>
          <w:sz w:val="36"/>
          <w:szCs w:val="36"/>
          <w:lang w:val="en-US" w:eastAsia="zh-CN" w:bidi="ar-SA"/>
        </w:rPr>
        <w:t>会议批准</w:t>
      </w:r>
    </w:p>
    <w:p>
      <w:pPr>
        <w:rPr>
          <w:rFonts w:hint="default" w:ascii="Times New Roman" w:hAnsi="Times New Roman" w:eastAsia="黑体" w:cs="Times New Roman"/>
          <w:b/>
          <w:bCs/>
          <w:color w:val="auto"/>
          <w:sz w:val="72"/>
          <w:szCs w:val="72"/>
          <w:highlight w:val="none"/>
        </w:rPr>
      </w:pPr>
      <w:r>
        <w:rPr>
          <w:rFonts w:hint="default" w:ascii="Times New Roman" w:hAnsi="Times New Roman" w:eastAsia="黑体" w:cs="Times New Roman"/>
          <w:b/>
          <w:bCs/>
          <w:color w:val="auto"/>
          <w:sz w:val="72"/>
          <w:szCs w:val="72"/>
          <w:highlight w:val="none"/>
        </w:rPr>
        <w:br w:type="page"/>
      </w:r>
    </w:p>
    <w:p>
      <w:pPr>
        <w:ind w:firstLine="198" w:firstLineChars="62"/>
        <w:jc w:val="center"/>
        <w:rPr>
          <w:rFonts w:hint="default" w:ascii="Times New Roman" w:hAnsi="Times New Roman" w:eastAsia="宋体" w:cs="Times New Roman"/>
          <w:color w:val="auto"/>
          <w:highlight w:val="none"/>
        </w:rPr>
        <w:sectPr>
          <w:headerReference r:id="rId5" w:type="default"/>
          <w:footerReference r:id="rId6" w:type="default"/>
          <w:type w:val="continuous"/>
          <w:pgSz w:w="11906" w:h="16838"/>
          <w:pgMar w:top="1928" w:right="1531" w:bottom="1757" w:left="1531" w:header="850" w:footer="1304" w:gutter="0"/>
          <w:pgNumType w:fmt="decimal" w:start="1"/>
          <w:cols w:space="0" w:num="1"/>
          <w:rtlGutter w:val="0"/>
          <w:docGrid w:type="lines" w:linePitch="438" w:charSpace="0"/>
        </w:sectPr>
      </w:pPr>
    </w:p>
    <w:sdt>
      <w:sdtPr>
        <w:rPr>
          <w:rFonts w:hint="default" w:ascii="Times New Roman" w:hAnsi="Times New Roman" w:eastAsia="宋体" w:cs="Times New Roman"/>
          <w:color w:val="auto"/>
          <w:highlight w:val="none"/>
        </w:rPr>
        <w:id w:val="147461676"/>
        <w15:color w:val="DBDBDB"/>
        <w:docPartObj>
          <w:docPartGallery w:val="Table of Contents"/>
          <w:docPartUnique/>
        </w:docPartObj>
      </w:sdtPr>
      <w:sdtEndPr>
        <w:rPr>
          <w:rFonts w:hint="default" w:ascii="Times New Roman" w:hAnsi="Times New Roman" w:eastAsia="仿宋" w:cs="Times New Roman"/>
          <w:color w:val="auto"/>
          <w:sz w:val="28"/>
          <w:szCs w:val="28"/>
          <w:highlight w:val="none"/>
        </w:rPr>
      </w:sdtEndPr>
      <w:sdtContent>
        <w:p>
          <w:pPr>
            <w:ind w:firstLine="198" w:firstLineChars="62"/>
            <w:jc w:val="center"/>
            <w:rPr>
              <w:rFonts w:hint="eastAsia" w:ascii="方正小标宋简体" w:hAnsi="方正小标宋简体" w:eastAsia="方正小标宋简体" w:cs="方正小标宋简体"/>
              <w:b/>
              <w:color w:val="auto"/>
              <w:sz w:val="44"/>
              <w:szCs w:val="44"/>
              <w:highlight w:val="none"/>
            </w:rPr>
          </w:pPr>
          <w:bookmarkStart w:id="0" w:name="_Toc2851"/>
          <w:bookmarkStart w:id="1" w:name="_Toc10364"/>
          <w:bookmarkStart w:id="2" w:name="_Toc20668"/>
          <w:bookmarkStart w:id="3" w:name="_Toc28229"/>
          <w:r>
            <w:rPr>
              <w:rFonts w:hint="eastAsia" w:ascii="方正小标宋_GBK" w:hAnsi="楷体_GB2312" w:eastAsia="方正小标宋_GBK" w:cs="楷体_GB2312"/>
              <w:sz w:val="44"/>
              <w:szCs w:val="44"/>
            </w:rPr>
            <w:t>目 录</w:t>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default" w:ascii="Times New Roman" w:hAnsi="Times New Roman" w:eastAsia="楷体" w:cs="Times New Roman"/>
              <w:color w:val="auto"/>
              <w:sz w:val="28"/>
              <w:szCs w:val="28"/>
              <w:highlight w:val="none"/>
            </w:rPr>
            <w:fldChar w:fldCharType="begin"/>
          </w:r>
          <w:r>
            <w:rPr>
              <w:rFonts w:hint="default" w:ascii="Times New Roman" w:hAnsi="Times New Roman" w:eastAsia="楷体" w:cs="Times New Roman"/>
              <w:color w:val="auto"/>
              <w:sz w:val="28"/>
              <w:szCs w:val="28"/>
              <w:highlight w:val="none"/>
            </w:rPr>
            <w:instrText xml:space="preserve">TOC \o "1-2" \h \u </w:instrText>
          </w:r>
          <w:r>
            <w:rPr>
              <w:rFonts w:hint="default" w:ascii="Times New Roman" w:hAnsi="Times New Roman" w:eastAsia="楷体" w:cs="Times New Roman"/>
              <w:color w:val="auto"/>
              <w:sz w:val="28"/>
              <w:szCs w:val="28"/>
              <w:highlight w:val="none"/>
            </w:rPr>
            <w:fldChar w:fldCharType="separate"/>
          </w:r>
          <w:r>
            <w:rPr>
              <w:rFonts w:hint="eastAsia" w:ascii="黑体" w:hAnsi="黑体" w:eastAsia="黑体" w:cs="黑体"/>
              <w:color w:val="auto"/>
              <w:sz w:val="32"/>
              <w:szCs w:val="32"/>
              <w:highlight w:val="none"/>
            </w:rPr>
            <w:fldChar w:fldCharType="begin"/>
          </w:r>
          <w:r>
            <w:rPr>
              <w:rFonts w:hint="eastAsia" w:ascii="黑体" w:hAnsi="黑体" w:eastAsia="黑体" w:cs="黑体"/>
              <w:color w:val="auto"/>
              <w:sz w:val="32"/>
              <w:szCs w:val="32"/>
              <w:highlight w:val="none"/>
            </w:rPr>
            <w:instrText xml:space="preserve"> HYPERLINK \l _Toc5927 </w:instrText>
          </w:r>
          <w:r>
            <w:rPr>
              <w:rFonts w:hint="eastAsia" w:ascii="黑体" w:hAnsi="黑体" w:eastAsia="黑体" w:cs="黑体"/>
              <w:color w:val="auto"/>
              <w:sz w:val="32"/>
              <w:szCs w:val="32"/>
              <w:highlight w:val="none"/>
            </w:rPr>
            <w:fldChar w:fldCharType="separate"/>
          </w:r>
          <w:r>
            <w:rPr>
              <w:rFonts w:hint="eastAsia" w:ascii="黑体" w:hAnsi="黑体" w:eastAsia="黑体" w:cs="黑体"/>
              <w:color w:val="auto"/>
              <w:sz w:val="32"/>
              <w:szCs w:val="32"/>
              <w:highlight w:val="none"/>
            </w:rPr>
            <w:t>引  言</w:t>
          </w:r>
          <w:r>
            <w:rPr>
              <w:rFonts w:hint="eastAsia" w:ascii="黑体" w:hAnsi="黑体" w:eastAsia="黑体" w:cs="黑体"/>
              <w:color w:val="auto"/>
              <w:sz w:val="32"/>
              <w:szCs w:val="32"/>
              <w:highlight w:val="none"/>
            </w:rPr>
            <w:tab/>
          </w:r>
          <w:r>
            <w:rPr>
              <w:rFonts w:hint="eastAsia" w:ascii="黑体" w:hAnsi="黑体" w:eastAsia="黑体" w:cs="黑体"/>
              <w:color w:val="auto"/>
              <w:sz w:val="32"/>
              <w:szCs w:val="32"/>
              <w:highlight w:val="none"/>
            </w:rPr>
            <w:fldChar w:fldCharType="begin"/>
          </w:r>
          <w:r>
            <w:rPr>
              <w:rFonts w:hint="eastAsia" w:ascii="黑体" w:hAnsi="黑体" w:eastAsia="黑体" w:cs="黑体"/>
              <w:color w:val="auto"/>
              <w:sz w:val="32"/>
              <w:szCs w:val="32"/>
              <w:highlight w:val="none"/>
            </w:rPr>
            <w:instrText xml:space="preserve"> PAGEREF _Toc5927 \h </w:instrText>
          </w:r>
          <w:r>
            <w:rPr>
              <w:rFonts w:hint="eastAsia" w:ascii="黑体" w:hAnsi="黑体" w:eastAsia="黑体" w:cs="黑体"/>
              <w:color w:val="auto"/>
              <w:sz w:val="32"/>
              <w:szCs w:val="32"/>
              <w:highlight w:val="none"/>
            </w:rPr>
            <w:fldChar w:fldCharType="separate"/>
          </w:r>
          <w:r>
            <w:rPr>
              <w:rFonts w:hint="eastAsia" w:ascii="黑体" w:hAnsi="黑体" w:eastAsia="黑体" w:cs="黑体"/>
              <w:color w:val="auto"/>
              <w:sz w:val="32"/>
              <w:szCs w:val="32"/>
              <w:highlight w:val="none"/>
            </w:rPr>
            <w:t>1</w:t>
          </w:r>
          <w:r>
            <w:rPr>
              <w:rFonts w:hint="eastAsia" w:ascii="黑体" w:hAnsi="黑体" w:eastAsia="黑体" w:cs="黑体"/>
              <w:color w:val="auto"/>
              <w:sz w:val="32"/>
              <w:szCs w:val="32"/>
              <w:highlight w:val="none"/>
            </w:rPr>
            <w:fldChar w:fldCharType="end"/>
          </w:r>
          <w:r>
            <w:rPr>
              <w:rFonts w:hint="eastAsia" w:ascii="黑体" w:hAnsi="黑体" w:eastAsia="黑体" w:cs="黑体"/>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560" w:leftChars="0" w:hanging="560" w:hangingChars="200"/>
            <w:textAlignment w:val="auto"/>
            <w:rPr>
              <w:rFonts w:hint="default" w:ascii="Times New Roman" w:hAnsi="Times New Roman" w:cs="Times New Roman"/>
              <w:color w:val="auto"/>
              <w:sz w:val="28"/>
              <w:szCs w:val="28"/>
              <w:highlight w:val="none"/>
            </w:rPr>
          </w:pPr>
          <w:r>
            <w:rPr>
              <w:rFonts w:hint="eastAsia" w:ascii="黑体" w:hAnsi="黑体" w:eastAsia="黑体" w:cs="黑体"/>
              <w:color w:val="auto"/>
              <w:sz w:val="28"/>
              <w:szCs w:val="28"/>
              <w:highlight w:val="none"/>
            </w:rPr>
            <w:fldChar w:fldCharType="begin"/>
          </w:r>
          <w:r>
            <w:rPr>
              <w:rFonts w:hint="eastAsia" w:ascii="黑体" w:hAnsi="黑体" w:eastAsia="黑体" w:cs="黑体"/>
              <w:color w:val="auto"/>
              <w:sz w:val="28"/>
              <w:szCs w:val="28"/>
              <w:highlight w:val="none"/>
            </w:rPr>
            <w:instrText xml:space="preserve"> HYPERLINK \l _Toc12643 </w:instrText>
          </w:r>
          <w:r>
            <w:rPr>
              <w:rFonts w:hint="eastAsia" w:ascii="黑体" w:hAnsi="黑体" w:eastAsia="黑体" w:cs="黑体"/>
              <w:color w:val="auto"/>
              <w:sz w:val="28"/>
              <w:szCs w:val="28"/>
              <w:highlight w:val="none"/>
            </w:rPr>
            <w:fldChar w:fldCharType="separate"/>
          </w:r>
          <w:r>
            <w:rPr>
              <w:rFonts w:hint="eastAsia" w:ascii="黑体" w:hAnsi="黑体" w:eastAsia="黑体" w:cs="黑体"/>
              <w:bCs/>
              <w:kern w:val="2"/>
              <w:sz w:val="32"/>
              <w:szCs w:val="32"/>
              <w:lang w:val="en-US" w:eastAsia="zh-CN" w:bidi="ar-SA"/>
            </w:rPr>
            <w:t>第一章 坚定不移推动高质量发展，扎实推进中国式现代化建设尤溪实践</w:t>
          </w:r>
          <w:r>
            <w:rPr>
              <w:rFonts w:hint="eastAsia" w:ascii="黑体" w:hAnsi="黑体" w:eastAsia="黑体" w:cs="黑体"/>
              <w:color w:val="auto"/>
              <w:sz w:val="28"/>
              <w:szCs w:val="28"/>
              <w:highlight w:val="none"/>
            </w:rPr>
            <w:tab/>
          </w:r>
          <w:r>
            <w:rPr>
              <w:rFonts w:hint="eastAsia" w:ascii="黑体" w:hAnsi="黑体" w:eastAsia="黑体" w:cs="黑体"/>
              <w:bCs/>
              <w:kern w:val="2"/>
              <w:sz w:val="32"/>
              <w:szCs w:val="32"/>
              <w:lang w:val="en-US" w:eastAsia="zh-CN" w:bidi="ar-SA"/>
            </w:rPr>
            <w:fldChar w:fldCharType="begin"/>
          </w:r>
          <w:r>
            <w:rPr>
              <w:rFonts w:hint="eastAsia" w:ascii="黑体" w:hAnsi="黑体" w:eastAsia="黑体" w:cs="黑体"/>
              <w:bCs/>
              <w:kern w:val="2"/>
              <w:sz w:val="32"/>
              <w:szCs w:val="32"/>
              <w:lang w:val="en-US" w:eastAsia="zh-CN" w:bidi="ar-SA"/>
            </w:rPr>
            <w:instrText xml:space="preserve"> PAGEREF _Toc12643 \h </w:instrText>
          </w:r>
          <w:r>
            <w:rPr>
              <w:rFonts w:hint="eastAsia" w:ascii="黑体" w:hAnsi="黑体" w:eastAsia="黑体" w:cs="黑体"/>
              <w:bCs/>
              <w:kern w:val="2"/>
              <w:sz w:val="32"/>
              <w:szCs w:val="32"/>
              <w:lang w:val="en-US" w:eastAsia="zh-CN" w:bidi="ar-SA"/>
            </w:rPr>
            <w:fldChar w:fldCharType="separate"/>
          </w:r>
          <w:r>
            <w:rPr>
              <w:rFonts w:hint="eastAsia" w:ascii="黑体" w:hAnsi="黑体" w:eastAsia="黑体" w:cs="黑体"/>
              <w:bCs/>
              <w:kern w:val="2"/>
              <w:sz w:val="32"/>
              <w:szCs w:val="32"/>
              <w:lang w:val="en-US" w:eastAsia="zh-CN" w:bidi="ar-SA"/>
            </w:rPr>
            <w:t>2</w:t>
          </w:r>
          <w:r>
            <w:rPr>
              <w:rFonts w:hint="eastAsia" w:ascii="黑体" w:hAnsi="黑体" w:eastAsia="黑体" w:cs="黑体"/>
              <w:bCs/>
              <w:kern w:val="2"/>
              <w:sz w:val="32"/>
              <w:szCs w:val="32"/>
              <w:lang w:val="en-US" w:eastAsia="zh-CN" w:bidi="ar-SA"/>
            </w:rPr>
            <w:fldChar w:fldCharType="end"/>
          </w:r>
          <w:r>
            <w:rPr>
              <w:rFonts w:hint="eastAsia" w:ascii="黑体" w:hAnsi="黑体" w:eastAsia="黑体" w:cs="黑体"/>
              <w:color w:val="auto"/>
              <w:sz w:val="28"/>
              <w:szCs w:val="28"/>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_Toc12874 </w:instrText>
          </w:r>
          <w:r>
            <w:rPr>
              <w:rFonts w:hint="eastAsia" w:ascii="仿宋_GB2312" w:hAnsi="仿宋_GB2312" w:eastAsia="仿宋_GB2312" w:cs="仿宋_GB2312"/>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第一节 发展基础</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_Toc12874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_Toc15152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第二节 发展机遇与环境</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_Toc15152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7</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黑体" w:hAnsi="黑体" w:eastAsia="黑体" w:cs="黑体"/>
              <w:bCs/>
              <w:kern w:val="2"/>
              <w:sz w:val="32"/>
              <w:szCs w:val="32"/>
              <w:lang w:val="en-US" w:eastAsia="zh-CN" w:bidi="ar-SA"/>
            </w:rPr>
          </w:pPr>
          <w:r>
            <w:rPr>
              <w:rFonts w:hint="eastAsia" w:ascii="黑体" w:hAnsi="黑体" w:eastAsia="黑体" w:cs="黑体"/>
              <w:bCs/>
              <w:kern w:val="2"/>
              <w:sz w:val="32"/>
              <w:szCs w:val="32"/>
              <w:lang w:val="en-US" w:eastAsia="zh-CN" w:bidi="ar-SA"/>
            </w:rPr>
            <w:fldChar w:fldCharType="begin"/>
          </w:r>
          <w:r>
            <w:rPr>
              <w:rFonts w:hint="eastAsia" w:ascii="黑体" w:hAnsi="黑体" w:eastAsia="黑体" w:cs="黑体"/>
              <w:bCs/>
              <w:kern w:val="2"/>
              <w:sz w:val="32"/>
              <w:szCs w:val="32"/>
              <w:lang w:val="en-US" w:eastAsia="zh-CN" w:bidi="ar-SA"/>
            </w:rPr>
            <w:instrText xml:space="preserve"> HYPERLINK \l _Toc20057 </w:instrText>
          </w:r>
          <w:r>
            <w:rPr>
              <w:rFonts w:hint="eastAsia" w:ascii="黑体" w:hAnsi="黑体" w:eastAsia="黑体" w:cs="黑体"/>
              <w:bCs/>
              <w:kern w:val="2"/>
              <w:sz w:val="32"/>
              <w:szCs w:val="32"/>
              <w:lang w:val="en-US" w:eastAsia="zh-CN" w:bidi="ar-SA"/>
            </w:rPr>
            <w:fldChar w:fldCharType="separate"/>
          </w:r>
          <w:r>
            <w:rPr>
              <w:rFonts w:hint="eastAsia" w:ascii="黑体" w:hAnsi="黑体" w:eastAsia="黑体" w:cs="黑体"/>
              <w:bCs/>
              <w:kern w:val="2"/>
              <w:sz w:val="32"/>
              <w:szCs w:val="32"/>
              <w:lang w:val="en-US" w:eastAsia="zh-CN" w:bidi="ar-SA"/>
            </w:rPr>
            <w:t>第二章 擘画发展新蓝图，在中国式现代化建设中奋勇争先</w:t>
          </w:r>
          <w:r>
            <w:rPr>
              <w:rFonts w:hint="eastAsia" w:ascii="黑体" w:hAnsi="黑体" w:eastAsia="黑体" w:cs="黑体"/>
              <w:bCs/>
              <w:kern w:val="2"/>
              <w:sz w:val="32"/>
              <w:szCs w:val="32"/>
              <w:lang w:val="en-US" w:eastAsia="zh-CN" w:bidi="ar-SA"/>
            </w:rPr>
            <w:tab/>
          </w:r>
          <w:r>
            <w:rPr>
              <w:rFonts w:hint="eastAsia" w:ascii="黑体" w:hAnsi="黑体" w:eastAsia="黑体" w:cs="黑体"/>
              <w:bCs/>
              <w:kern w:val="2"/>
              <w:sz w:val="32"/>
              <w:szCs w:val="32"/>
              <w:lang w:val="en-US" w:eastAsia="zh-CN" w:bidi="ar-SA"/>
            </w:rPr>
            <w:fldChar w:fldCharType="begin"/>
          </w:r>
          <w:r>
            <w:rPr>
              <w:rFonts w:hint="eastAsia" w:ascii="黑体" w:hAnsi="黑体" w:eastAsia="黑体" w:cs="黑体"/>
              <w:bCs/>
              <w:kern w:val="2"/>
              <w:sz w:val="32"/>
              <w:szCs w:val="32"/>
              <w:lang w:val="en-US" w:eastAsia="zh-CN" w:bidi="ar-SA"/>
            </w:rPr>
            <w:instrText xml:space="preserve"> PAGEREF _Toc20057 \h </w:instrText>
          </w:r>
          <w:r>
            <w:rPr>
              <w:rFonts w:hint="eastAsia" w:ascii="黑体" w:hAnsi="黑体" w:eastAsia="黑体" w:cs="黑体"/>
              <w:bCs/>
              <w:kern w:val="2"/>
              <w:sz w:val="32"/>
              <w:szCs w:val="32"/>
              <w:lang w:val="en-US" w:eastAsia="zh-CN" w:bidi="ar-SA"/>
            </w:rPr>
            <w:fldChar w:fldCharType="separate"/>
          </w:r>
          <w:r>
            <w:rPr>
              <w:rFonts w:hint="eastAsia" w:ascii="黑体" w:hAnsi="黑体" w:eastAsia="黑体" w:cs="黑体"/>
              <w:bCs/>
              <w:kern w:val="2"/>
              <w:sz w:val="32"/>
              <w:szCs w:val="32"/>
              <w:lang w:val="en-US" w:eastAsia="zh-CN" w:bidi="ar-SA"/>
            </w:rPr>
            <w:t>9</w:t>
          </w:r>
          <w:r>
            <w:rPr>
              <w:rFonts w:hint="eastAsia" w:ascii="黑体" w:hAnsi="黑体" w:eastAsia="黑体" w:cs="黑体"/>
              <w:bCs/>
              <w:kern w:val="2"/>
              <w:sz w:val="32"/>
              <w:szCs w:val="32"/>
              <w:lang w:val="en-US" w:eastAsia="zh-CN" w:bidi="ar-SA"/>
            </w:rPr>
            <w:fldChar w:fldCharType="end"/>
          </w:r>
          <w:r>
            <w:rPr>
              <w:rFonts w:hint="eastAsia"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_Toc22846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第一节 指导思想</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_Toc22846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9</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_Toc16801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第二节 基本原则</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_Toc16801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10</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_Toc10933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第三节 战略定位</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_Toc10933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11</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_Toc4206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第四节 发展目标</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_Toc4206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13</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_Toc9556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第三章 着力提升能级，构建现代化产业体系</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_Toc9556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17</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_Toc22946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第一节 推动传统产业提档升级</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_Toc22946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17</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_Toc21542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第二节 促进战略性新兴产业提质升级</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_Toc21542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22</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_Toc3333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第三节 提升未来产业培育能级</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_Toc3333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24</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_Toc23827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第四节 推动现代服务业高质量升级</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_Toc23827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26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_Toc24856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第五节 做强现代农业攀升富民层级</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_Toc24856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31</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_Toc3054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第六节 推动开发区园区高质量发展</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_Toc3054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33</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_Toc27755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第四章 着力创新驱动，持续释放新质动能</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_Toc27755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37</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_Toc22246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第一节 聚力推进产业核心技术攻关</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_Toc22246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37</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_Toc9933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第二节 强化科技创新主体培育</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_Toc9933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40</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_Toc12165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第三节 积极打造高能级创新载体</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_Toc12165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41</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sectPr>
              <w:footerReference r:id="rId7" w:type="default"/>
              <w:footerReference r:id="rId8" w:type="even"/>
              <w:pgSz w:w="11906" w:h="16838"/>
              <w:pgMar w:top="1928" w:right="1531" w:bottom="1757" w:left="1531" w:header="850" w:footer="1304" w:gutter="0"/>
              <w:pgNumType w:fmt="upperRoman" w:start="1"/>
              <w:cols w:space="0" w:num="1"/>
              <w:rtlGutter w:val="0"/>
              <w:docGrid w:type="lines" w:linePitch="438" w:charSpace="0"/>
            </w:sectPr>
          </w:pP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_Toc30922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第四节 培育壮大科技创新人才队伍</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_Toc30922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43</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_Toc19617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第五节 加速科技成果转化应用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_Toc19617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44</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_Toc29784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第五章 着力扩大内需，充分释放有效需求</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_Toc29784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46</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_Toc15601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第一节 促进消费扩容提质</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_Toc15601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46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_Toc26525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第二节 全力扩大有效投资</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_Toc26525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49</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_Toc20255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第六章 着力改造提升，构建现代基建体系</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_Toc20255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51</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_Toc17206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第一节 构建内联外畅、多网融合的综合立体交通网络</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_Toc17206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52</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_Toc909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第二节 建设安全可靠、高效协同的现代能源保障网络</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_Toc909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55</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_Toc22375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第三节 构建全域统筹、安全可靠的水利基础设施网络</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_Toc22375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57</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_Toc7465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第四节 布局高速泛在、融合智能的新型基础设施网络</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PAGEREF _Toc7465 \h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snapToGrid w:val="0"/>
              <w:color w:val="auto"/>
              <w:sz w:val="32"/>
              <w:szCs w:val="32"/>
              <w:highlight w:val="none"/>
            </w:rPr>
            <w:t>59</w:t>
          </w:r>
          <w:r>
            <w:rPr>
              <w:rFonts w:hint="eastAsia" w:ascii="仿宋_GB2312" w:hAnsi="仿宋_GB2312" w:eastAsia="仿宋_GB2312" w:cs="仿宋_GB2312"/>
              <w:snapToGrid w:val="0"/>
              <w:color w:val="auto"/>
              <w:sz w:val="32"/>
              <w:szCs w:val="32"/>
              <w:highlight w:val="none"/>
            </w:rPr>
            <w:fldChar w:fldCharType="end"/>
          </w:r>
          <w:r>
            <w:rPr>
              <w:rFonts w:hint="eastAsia" w:ascii="仿宋_GB2312" w:hAnsi="仿宋_GB2312" w:eastAsia="仿宋_GB2312" w:cs="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_Toc18460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第七章 着力深化改革，激发发展动力活力</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_Toc18460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61</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_Toc21001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第一节 强化全国集体林区林权制度改革试点县建设</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_Toc21001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61</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_Toc21925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第二节 深化医药卫生体制改革创新</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_Toc21925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63</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_Toc24986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第三节 持续探索融媒体改革2.0新模式</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_Toc24986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64</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_Toc18572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第四节 努力营造一流营商环境</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_Toc18572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65</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_Toc17842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第五节 提升民营经济发展活力</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_Toc17842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66</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_Toc257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第六节 深化国资国企改革</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_Toc257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67</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napToGrid w:val="0"/>
              <w:color w:val="auto"/>
              <w:sz w:val="32"/>
              <w:szCs w:val="32"/>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_Toc7361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第七节 深化要素市场化配置改革</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_Toc7361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69</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snapToGrid w:val="0"/>
              <w:color w:val="auto"/>
              <w:sz w:val="32"/>
              <w:szCs w:val="32"/>
              <w:highlight w:val="none"/>
            </w:rPr>
            <w:fldChar w:fldCharType="begin"/>
          </w:r>
          <w:r>
            <w:rPr>
              <w:rFonts w:hint="eastAsia" w:ascii="仿宋_GB2312" w:hAnsi="仿宋_GB2312" w:eastAsia="仿宋_GB2312" w:cs="仿宋_GB2312"/>
              <w:snapToGrid w:val="0"/>
              <w:color w:val="auto"/>
              <w:sz w:val="32"/>
              <w:szCs w:val="32"/>
              <w:highlight w:val="none"/>
            </w:rPr>
            <w:instrText xml:space="preserve"> HYPERLINK \l _Toc28327 </w:instrText>
          </w:r>
          <w:r>
            <w:rPr>
              <w:rFonts w:hint="eastAsia" w:ascii="仿宋_GB2312" w:hAnsi="仿宋_GB2312" w:eastAsia="仿宋_GB2312" w:cs="仿宋_GB2312"/>
              <w:snapToGrid w:val="0"/>
              <w:color w:val="auto"/>
              <w:sz w:val="32"/>
              <w:szCs w:val="32"/>
              <w:highlight w:val="none"/>
            </w:rPr>
            <w:fldChar w:fldCharType="separate"/>
          </w:r>
          <w:r>
            <w:rPr>
              <w:rFonts w:hint="eastAsia" w:ascii="仿宋_GB2312" w:hAnsi="仿宋_GB2312" w:eastAsia="仿宋_GB2312" w:cs="仿宋_GB2312"/>
              <w:bCs/>
              <w:kern w:val="2"/>
              <w:sz w:val="32"/>
              <w:szCs w:val="32"/>
              <w:lang w:val="en-US" w:eastAsia="zh-CN" w:bidi="ar-SA"/>
            </w:rPr>
            <w:t>第八节 深化财税金融体制改革</w:t>
          </w:r>
          <w:r>
            <w:rPr>
              <w:rFonts w:hint="eastAsia" w:ascii="仿宋_GB2312" w:hAnsi="仿宋_GB2312" w:eastAsia="仿宋_GB2312" w:cs="仿宋_GB2312"/>
              <w:kern w:val="2"/>
              <w:sz w:val="32"/>
              <w:szCs w:val="32"/>
              <w:lang w:val="en-US" w:eastAsia="zh-CN" w:bidi="ar-SA"/>
            </w:rPr>
            <w:tab/>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PAGEREF _Toc28327 \h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70</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_Toc7923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第八章 着力扩大开放，拓展广阔发展空间</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_Toc7923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72</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_Toc7112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 xml:space="preserve">第一节 </w:t>
          </w:r>
          <w:r>
            <w:rPr>
              <w:rFonts w:hint="default" w:ascii="黑体" w:hAnsi="黑体" w:eastAsia="仿宋_GB2312" w:cs="黑体"/>
              <w:bCs/>
              <w:kern w:val="2"/>
              <w:sz w:val="32"/>
              <w:szCs w:val="32"/>
              <w:lang w:val="zh-TW" w:eastAsia="zh-CN" w:bidi="ar-SA"/>
            </w:rPr>
            <w:t>努力</w:t>
          </w:r>
          <w:r>
            <w:rPr>
              <w:rFonts w:hint="default" w:ascii="黑体" w:hAnsi="黑体" w:eastAsia="仿宋_GB2312" w:cs="黑体"/>
              <w:bCs/>
              <w:kern w:val="2"/>
              <w:sz w:val="32"/>
              <w:szCs w:val="32"/>
              <w:lang w:val="en-US" w:eastAsia="zh-CN" w:bidi="ar-SA"/>
            </w:rPr>
            <w:t>提</w:t>
          </w:r>
          <w:r>
            <w:rPr>
              <w:rFonts w:hint="default" w:ascii="黑体" w:hAnsi="黑体" w:eastAsia="仿宋_GB2312" w:cs="黑体"/>
              <w:bCs/>
              <w:kern w:val="2"/>
              <w:sz w:val="32"/>
              <w:szCs w:val="32"/>
              <w:lang w:val="zh-TW" w:eastAsia="zh-CN" w:bidi="ar-SA"/>
            </w:rPr>
            <w:t>升外向型经济水平</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_Toc7112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72</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_Toc15623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 xml:space="preserve">第二节 </w:t>
          </w:r>
          <w:r>
            <w:rPr>
              <w:rFonts w:hint="default" w:ascii="黑体" w:hAnsi="黑体" w:eastAsia="仿宋_GB2312" w:cs="黑体"/>
              <w:bCs/>
              <w:kern w:val="2"/>
              <w:sz w:val="32"/>
              <w:szCs w:val="32"/>
              <w:lang w:val="zh-TW" w:eastAsia="zh-CN" w:bidi="ar-SA"/>
            </w:rPr>
            <w:t>建设高水平对外合作平台</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_Toc15623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74</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_Toc3906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 xml:space="preserve">第三节 </w:t>
          </w:r>
          <w:r>
            <w:rPr>
              <w:rFonts w:hint="default" w:ascii="黑体" w:hAnsi="黑体" w:eastAsia="仿宋_GB2312" w:cs="黑体"/>
              <w:bCs/>
              <w:kern w:val="2"/>
              <w:sz w:val="32"/>
              <w:szCs w:val="32"/>
              <w:lang w:val="zh-TW" w:eastAsia="zh-CN" w:bidi="ar-SA"/>
            </w:rPr>
            <w:t>深化</w:t>
          </w:r>
          <w:r>
            <w:rPr>
              <w:rFonts w:hint="default" w:ascii="黑体" w:hAnsi="黑体" w:eastAsia="仿宋_GB2312" w:cs="黑体"/>
              <w:bCs/>
              <w:kern w:val="2"/>
              <w:sz w:val="32"/>
              <w:szCs w:val="32"/>
              <w:lang w:val="en-US" w:eastAsia="zh-CN" w:bidi="ar-SA"/>
            </w:rPr>
            <w:t>尤台</w:t>
          </w:r>
          <w:r>
            <w:rPr>
              <w:rFonts w:hint="default" w:ascii="黑体" w:hAnsi="黑体" w:eastAsia="仿宋_GB2312" w:cs="黑体"/>
              <w:bCs/>
              <w:kern w:val="2"/>
              <w:sz w:val="32"/>
              <w:szCs w:val="32"/>
              <w:lang w:val="zh-TW" w:eastAsia="zh-CN" w:bidi="ar-SA"/>
            </w:rPr>
            <w:t>交流合作</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_Toc3906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75</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sectPr>
              <w:footerReference r:id="rId9" w:type="default"/>
              <w:footerReference r:id="rId10" w:type="even"/>
              <w:type w:val="continuous"/>
              <w:pgSz w:w="11906" w:h="16838"/>
              <w:pgMar w:top="1928" w:right="1531" w:bottom="1757" w:left="1531" w:header="850" w:footer="1304" w:gutter="0"/>
              <w:pgNumType w:fmt="upperRoman"/>
              <w:cols w:space="0" w:num="1"/>
              <w:rtlGutter w:val="0"/>
              <w:docGrid w:type="lines" w:linePitch="438" w:charSpace="0"/>
            </w:sectPr>
          </w:pP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_Toc16156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第九章 着力城市更新，建设宜居和美城乡</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_Toc16156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78</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_Toc8862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第一节 优化</w:t>
          </w:r>
          <w:r>
            <w:rPr>
              <w:rFonts w:hint="default" w:ascii="黑体" w:hAnsi="黑体" w:eastAsia="仿宋_GB2312" w:cs="黑体"/>
              <w:bCs/>
              <w:kern w:val="2"/>
              <w:sz w:val="32"/>
              <w:szCs w:val="32"/>
              <w:lang w:val="zh-TW" w:eastAsia="zh-TW" w:bidi="ar-SA"/>
            </w:rPr>
            <w:t>国土空间发展格局</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_Toc8862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78</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_Toc10962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第二节 推动城市高质量发展</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_Toc10962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80</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_Toc5691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第三节 促进乡村全面振兴</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_Toc5691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85</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_Toc13155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第四节 加快推动城乡融合发展</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_Toc13155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88</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_Toc15217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第十章 着力多维协作，提升区域竞争优势</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_Toc15217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89</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_Toc19369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第一节 深度融入</w:t>
          </w:r>
          <w:r>
            <w:rPr>
              <w:rFonts w:hint="default" w:ascii="黑体" w:hAnsi="黑体" w:eastAsia="仿宋_GB2312" w:cs="黑体"/>
              <w:bCs/>
              <w:kern w:val="2"/>
              <w:sz w:val="32"/>
              <w:szCs w:val="32"/>
              <w:lang w:val="zh-TW" w:eastAsia="zh-TW" w:bidi="ar-SA"/>
            </w:rPr>
            <w:t>闽</w:t>
          </w:r>
          <w:r>
            <w:rPr>
              <w:rFonts w:hint="default" w:ascii="黑体" w:hAnsi="黑体" w:eastAsia="仿宋_GB2312" w:cs="黑体"/>
              <w:bCs/>
              <w:kern w:val="2"/>
              <w:sz w:val="32"/>
              <w:szCs w:val="32"/>
              <w:lang w:val="en-US" w:eastAsia="zh-CN" w:bidi="ar-SA"/>
            </w:rPr>
            <w:t>西南</w:t>
          </w:r>
          <w:r>
            <w:rPr>
              <w:rFonts w:hint="default" w:ascii="黑体" w:hAnsi="黑体" w:eastAsia="仿宋_GB2312" w:cs="黑体"/>
              <w:bCs/>
              <w:kern w:val="2"/>
              <w:sz w:val="32"/>
              <w:szCs w:val="32"/>
              <w:lang w:val="zh-TW" w:eastAsia="zh-TW" w:bidi="ar-SA"/>
            </w:rPr>
            <w:t>协同发展区合作</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_Toc19369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90</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_Toc3341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第二节 持续深化沪明对口合作</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_Toc3341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91</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_Toc28969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第三节 做实做深新时代山海协作</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_Toc28969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92</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_Toc4267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 xml:space="preserve">第四节 </w:t>
          </w:r>
          <w:r>
            <w:rPr>
              <w:rFonts w:hint="default" w:ascii="黑体" w:hAnsi="黑体" w:eastAsia="仿宋_GB2312" w:cs="黑体"/>
              <w:bCs/>
              <w:kern w:val="2"/>
              <w:sz w:val="32"/>
              <w:szCs w:val="32"/>
              <w:lang w:val="zh-TW" w:eastAsia="zh-TW" w:bidi="ar-SA"/>
            </w:rPr>
            <w:t>深度融入福州都市圈</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_Toc4267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94</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_Toc16536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第十一章 着力绿色转型，推动建设美丽尤溪</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_Toc16536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97</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_Toc28579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第一节 筑牢闽江上游生态屏障</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_Toc28579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97</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_Toc10110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第二节 构建绿色循环产业体系</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_Toc10110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98</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_Toc27820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第三节 提升生态污染治理水平</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_Toc27820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101</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_Toc25558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第四节 建设生态宜居美丽家园</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_Toc25558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102</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_Toc17258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第十二章 着力改善民生，绘就共富美好图景</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_Toc17258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105</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_Toc18918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第一节 促进高质量充分就业</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_Toc18918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105</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_Toc10615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第二节 办好人民满意教育</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_Toc10615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107</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_Toc18853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第三节 全面推进健康尤溪建设</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_Toc18853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110</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_Toc9386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第四节 强化社会保障兜底功能</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_Toc9386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113</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_Toc14429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第五节 促进人口高质量发展</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_Toc14429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114</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_Toc18603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第十三章 着力文旅融合，夯实文化繁荣根基</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_Toc18603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117</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_Toc18554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第一节 完善公共文化服务</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_Toc18554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117</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sectPr>
              <w:footerReference r:id="rId11" w:type="default"/>
              <w:footerReference r:id="rId12" w:type="even"/>
              <w:type w:val="continuous"/>
              <w:pgSz w:w="11906" w:h="16838"/>
              <w:pgMar w:top="1928" w:right="1531" w:bottom="1757" w:left="1531" w:header="850" w:footer="1304" w:gutter="0"/>
              <w:pgNumType w:fmt="upperRoman"/>
              <w:cols w:space="0" w:num="1"/>
              <w:rtlGutter w:val="0"/>
              <w:docGrid w:type="lines" w:linePitch="438" w:charSpace="0"/>
            </w:sectPr>
          </w:pP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_Toc15894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第二节 构建朱子文化核心品牌体系</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_Toc15894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120</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_Toc10394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第三节 大力培育文旅融合新业态</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_Toc10394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122</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cs="Times New Roman"/>
              <w:color w:val="auto"/>
              <w:sz w:val="28"/>
              <w:szCs w:val="28"/>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_Toc18358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第四节 优化文旅发展基础环境</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_Toc18358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124</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_Toc19550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第十四章 着力安全治理，巩固尤溪安全屏障</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_Toc19550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127</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_Toc24226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第一节 提升应急管理能力和应急应变效能</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_Toc24226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127</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_Toc13457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第二节 强化公共安全保障</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_Toc13457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130</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_Toc1093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第三节 筑牢重点领域安全防线</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_Toc1093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130</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_Toc31124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第四节 建设更高水平的法治尤溪</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_Toc31124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132</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3"/>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黑体" w:hAnsi="黑体" w:eastAsia="黑体" w:cs="黑体"/>
              <w:bCs/>
              <w:kern w:val="2"/>
              <w:sz w:val="32"/>
              <w:szCs w:val="32"/>
              <w:lang w:val="en-US" w:eastAsia="zh-CN" w:bidi="ar-SA"/>
            </w:rPr>
          </w:pP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HYPERLINK \l _Toc8596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第十五章 健全规划实施保障措施，为实现目标任务踔厉奋发</w:t>
          </w:r>
          <w:r>
            <w:rPr>
              <w:rFonts w:hint="default" w:ascii="黑体" w:hAnsi="黑体" w:eastAsia="黑体" w:cs="黑体"/>
              <w:bCs/>
              <w:kern w:val="2"/>
              <w:sz w:val="32"/>
              <w:szCs w:val="32"/>
              <w:lang w:val="en-US" w:eastAsia="zh-CN" w:bidi="ar-SA"/>
            </w:rPr>
            <w:tab/>
          </w:r>
          <w:r>
            <w:rPr>
              <w:rFonts w:hint="default" w:ascii="黑体" w:hAnsi="黑体" w:eastAsia="黑体" w:cs="黑体"/>
              <w:bCs/>
              <w:kern w:val="2"/>
              <w:sz w:val="32"/>
              <w:szCs w:val="32"/>
              <w:lang w:val="en-US" w:eastAsia="zh-CN" w:bidi="ar-SA"/>
            </w:rPr>
            <w:fldChar w:fldCharType="begin"/>
          </w:r>
          <w:r>
            <w:rPr>
              <w:rFonts w:hint="default" w:ascii="黑体" w:hAnsi="黑体" w:eastAsia="黑体" w:cs="黑体"/>
              <w:bCs/>
              <w:kern w:val="2"/>
              <w:sz w:val="32"/>
              <w:szCs w:val="32"/>
              <w:lang w:val="en-US" w:eastAsia="zh-CN" w:bidi="ar-SA"/>
            </w:rPr>
            <w:instrText xml:space="preserve"> PAGEREF _Toc8596 \h </w:instrText>
          </w:r>
          <w:r>
            <w:rPr>
              <w:rFonts w:hint="default" w:ascii="黑体" w:hAnsi="黑体" w:eastAsia="黑体" w:cs="黑体"/>
              <w:bCs/>
              <w:kern w:val="2"/>
              <w:sz w:val="32"/>
              <w:szCs w:val="32"/>
              <w:lang w:val="en-US" w:eastAsia="zh-CN" w:bidi="ar-SA"/>
            </w:rPr>
            <w:fldChar w:fldCharType="separate"/>
          </w:r>
          <w:r>
            <w:rPr>
              <w:rFonts w:hint="default" w:ascii="黑体" w:hAnsi="黑体" w:eastAsia="黑体" w:cs="黑体"/>
              <w:bCs/>
              <w:kern w:val="2"/>
              <w:sz w:val="32"/>
              <w:szCs w:val="32"/>
              <w:lang w:val="en-US" w:eastAsia="zh-CN" w:bidi="ar-SA"/>
            </w:rPr>
            <w:t>134</w:t>
          </w:r>
          <w:r>
            <w:rPr>
              <w:rFonts w:hint="default" w:ascii="黑体" w:hAnsi="黑体" w:eastAsia="黑体" w:cs="黑体"/>
              <w:bCs/>
              <w:kern w:val="2"/>
              <w:sz w:val="32"/>
              <w:szCs w:val="32"/>
              <w:lang w:val="en-US" w:eastAsia="zh-CN" w:bidi="ar-SA"/>
            </w:rPr>
            <w:fldChar w:fldCharType="end"/>
          </w:r>
          <w:r>
            <w:rPr>
              <w:rFonts w:hint="default" w:ascii="黑体" w:hAnsi="黑体" w:eastAsia="黑体" w:cs="黑体"/>
              <w:bCs/>
              <w:kern w:val="2"/>
              <w:sz w:val="32"/>
              <w:szCs w:val="32"/>
              <w:lang w:val="en-US" w:eastAsia="zh-CN" w:bidi="ar-SA"/>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_Toc12859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第一节 强化组织协调领导</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_Toc12859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134</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_Toc17662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第二节 健全规划实施机制</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_Toc17662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135</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_Toc25212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第三节 完善要素保障支撑</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_Toc25212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136</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方正仿宋_GB2312" w:hAnsi="方正仿宋_GB2312" w:eastAsia="方正仿宋_GB2312" w:cs="方正仿宋_GB2312"/>
              <w:snapToGrid w:val="0"/>
              <w:color w:val="auto"/>
              <w:sz w:val="32"/>
              <w:szCs w:val="32"/>
              <w:highlight w:val="none"/>
            </w:rPr>
          </w:pPr>
          <w:r>
            <w:rPr>
              <w:rFonts w:hint="default" w:ascii="方正仿宋_GB2312" w:hAnsi="方正仿宋_GB2312" w:eastAsia="方正仿宋_GB2312" w:cs="方正仿宋_GB2312"/>
              <w:snapToGrid w:val="0"/>
              <w:color w:val="auto"/>
              <w:sz w:val="32"/>
              <w:szCs w:val="32"/>
              <w:highlight w:val="none"/>
            </w:rPr>
            <w:fldChar w:fldCharType="begin"/>
          </w:r>
          <w:r>
            <w:rPr>
              <w:rFonts w:hint="default" w:ascii="方正仿宋_GB2312" w:hAnsi="方正仿宋_GB2312" w:eastAsia="方正仿宋_GB2312" w:cs="方正仿宋_GB2312"/>
              <w:snapToGrid w:val="0"/>
              <w:color w:val="auto"/>
              <w:sz w:val="32"/>
              <w:szCs w:val="32"/>
              <w:highlight w:val="none"/>
            </w:rPr>
            <w:instrText xml:space="preserve"> HYPERLINK \l _Toc23774 </w:instrText>
          </w:r>
          <w:r>
            <w:rPr>
              <w:rFonts w:hint="default" w:ascii="方正仿宋_GB2312" w:hAnsi="方正仿宋_GB2312" w:eastAsia="方正仿宋_GB2312" w:cs="方正仿宋_GB2312"/>
              <w:snapToGrid w:val="0"/>
              <w:color w:val="auto"/>
              <w:sz w:val="32"/>
              <w:szCs w:val="32"/>
              <w:highlight w:val="none"/>
            </w:rPr>
            <w:fldChar w:fldCharType="separate"/>
          </w:r>
          <w:r>
            <w:rPr>
              <w:rFonts w:hint="default" w:ascii="黑体" w:hAnsi="黑体" w:eastAsia="仿宋_GB2312" w:cs="黑体"/>
              <w:bCs/>
              <w:kern w:val="2"/>
              <w:sz w:val="32"/>
              <w:szCs w:val="32"/>
              <w:lang w:val="en-US" w:eastAsia="zh-CN" w:bidi="ar-SA"/>
            </w:rPr>
            <w:t>第四节 强化监测评估监督</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_Toc23774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136</w:t>
          </w:r>
          <w:r>
            <w:rPr>
              <w:rFonts w:hint="default" w:ascii="仿宋_GB2312" w:hAnsi="仿宋_GB2312" w:eastAsia="仿宋_GB2312" w:cs="仿宋_GB2312"/>
              <w:kern w:val="2"/>
              <w:sz w:val="32"/>
              <w:szCs w:val="32"/>
              <w:lang w:val="en-US" w:eastAsia="zh-CN" w:bidi="ar-SA"/>
            </w:rPr>
            <w:fldChar w:fldCharType="end"/>
          </w:r>
          <w:r>
            <w:rPr>
              <w:rFonts w:hint="default" w:ascii="方正仿宋_GB2312" w:hAnsi="方正仿宋_GB2312" w:eastAsia="方正仿宋_GB2312" w:cs="方正仿宋_GB2312"/>
              <w:snapToGrid w:val="0"/>
              <w:color w:val="auto"/>
              <w:sz w:val="32"/>
              <w:szCs w:val="32"/>
              <w:highlight w:val="none"/>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firstLine="0" w:firstLineChars="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HYPERLINK \l _Toc14489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第五节 充分调动社会参与</w:t>
          </w:r>
          <w:r>
            <w:rPr>
              <w:rFonts w:hint="default" w:ascii="仿宋_GB2312" w:hAnsi="仿宋_GB2312" w:eastAsia="仿宋_GB2312" w:cs="仿宋_GB2312"/>
              <w:kern w:val="2"/>
              <w:sz w:val="32"/>
              <w:szCs w:val="32"/>
              <w:lang w:val="en-US" w:eastAsia="zh-CN" w:bidi="ar-SA"/>
            </w:rPr>
            <w:tab/>
          </w:r>
          <w:r>
            <w:rPr>
              <w:rFonts w:hint="default" w:ascii="仿宋_GB2312" w:hAnsi="仿宋_GB2312" w:eastAsia="仿宋_GB2312" w:cs="仿宋_GB2312"/>
              <w:kern w:val="2"/>
              <w:sz w:val="32"/>
              <w:szCs w:val="32"/>
              <w:lang w:val="en-US" w:eastAsia="zh-CN" w:bidi="ar-SA"/>
            </w:rPr>
            <w:fldChar w:fldCharType="begin"/>
          </w:r>
          <w:r>
            <w:rPr>
              <w:rFonts w:hint="default" w:ascii="仿宋_GB2312" w:hAnsi="仿宋_GB2312" w:eastAsia="仿宋_GB2312" w:cs="仿宋_GB2312"/>
              <w:kern w:val="2"/>
              <w:sz w:val="32"/>
              <w:szCs w:val="32"/>
              <w:lang w:val="en-US" w:eastAsia="zh-CN" w:bidi="ar-SA"/>
            </w:rPr>
            <w:instrText xml:space="preserve"> PAGEREF _Toc14489 \h </w:instrText>
          </w:r>
          <w:r>
            <w:rPr>
              <w:rFonts w:hint="default" w:ascii="仿宋_GB2312" w:hAnsi="仿宋_GB2312" w:eastAsia="仿宋_GB2312" w:cs="仿宋_GB2312"/>
              <w:kern w:val="2"/>
              <w:sz w:val="32"/>
              <w:szCs w:val="32"/>
              <w:lang w:val="en-US" w:eastAsia="zh-CN" w:bidi="ar-SA"/>
            </w:rPr>
            <w:fldChar w:fldCharType="separate"/>
          </w:r>
          <w:r>
            <w:rPr>
              <w:rFonts w:hint="default" w:ascii="仿宋_GB2312" w:hAnsi="仿宋_GB2312" w:eastAsia="仿宋_GB2312" w:cs="仿宋_GB2312"/>
              <w:kern w:val="2"/>
              <w:sz w:val="32"/>
              <w:szCs w:val="32"/>
              <w:lang w:val="en-US" w:eastAsia="zh-CN" w:bidi="ar-SA"/>
            </w:rPr>
            <w:t>137</w:t>
          </w:r>
          <w:r>
            <w:rPr>
              <w:rFonts w:hint="default" w:ascii="仿宋_GB2312" w:hAnsi="仿宋_GB2312" w:eastAsia="仿宋_GB2312" w:cs="仿宋_GB2312"/>
              <w:kern w:val="2"/>
              <w:sz w:val="32"/>
              <w:szCs w:val="32"/>
              <w:lang w:val="en-US" w:eastAsia="zh-CN" w:bidi="ar-SA"/>
            </w:rPr>
            <w:fldChar w:fldCharType="end"/>
          </w:r>
          <w:r>
            <w:rPr>
              <w:rFonts w:hint="default" w:ascii="仿宋_GB2312" w:hAnsi="仿宋_GB2312" w:eastAsia="仿宋_GB2312" w:cs="仿宋_GB2312"/>
              <w:kern w:val="2"/>
              <w:sz w:val="32"/>
              <w:szCs w:val="32"/>
              <w:lang w:val="en-US" w:eastAsia="zh-CN" w:bidi="ar-SA"/>
            </w:rPr>
            <w:fldChar w:fldCharType="end"/>
          </w:r>
        </w:p>
        <w:p>
          <w:pPr>
            <w:pStyle w:val="15"/>
            <w:tabs>
              <w:tab w:val="right" w:leader="dot" w:pos="9072"/>
            </w:tabs>
            <w:rPr>
              <w:rFonts w:hint="default" w:ascii="Times New Roman" w:hAnsi="Times New Roman" w:cs="Times New Roman"/>
              <w:color w:val="auto"/>
              <w:sz w:val="28"/>
              <w:szCs w:val="28"/>
              <w:highlight w:val="none"/>
            </w:rPr>
          </w:pPr>
          <w:r>
            <w:rPr>
              <w:rFonts w:hint="default" w:ascii="Times New Roman" w:hAnsi="Times New Roman" w:eastAsia="楷体" w:cs="Times New Roman"/>
              <w:color w:val="auto"/>
              <w:sz w:val="28"/>
              <w:szCs w:val="28"/>
              <w:highlight w:val="none"/>
            </w:rPr>
            <w:fldChar w:fldCharType="end"/>
          </w:r>
        </w:p>
      </w:sdtContent>
    </w:sdt>
    <w:p>
      <w:pPr>
        <w:pStyle w:val="3"/>
        <w:spacing w:before="312" w:after="312"/>
        <w:ind w:firstLine="723"/>
        <w:rPr>
          <w:rFonts w:hint="default" w:ascii="Times New Roman" w:hAnsi="Times New Roman" w:cs="Times New Roman"/>
          <w:color w:val="auto"/>
          <w:highlight w:val="none"/>
        </w:rPr>
        <w:sectPr>
          <w:type w:val="continuous"/>
          <w:pgSz w:w="11906" w:h="16838"/>
          <w:pgMar w:top="1928" w:right="1531" w:bottom="1757" w:left="1531" w:header="850" w:footer="1304" w:gutter="0"/>
          <w:pgNumType w:fmt="upperRoman"/>
          <w:cols w:space="0" w:num="1"/>
          <w:rtlGutter w:val="0"/>
          <w:docGrid w:type="lines" w:linePitch="438" w:charSpace="0"/>
        </w:sectPr>
      </w:pPr>
    </w:p>
    <w:bookmarkEnd w:id="0"/>
    <w:bookmarkEnd w:id="1"/>
    <w:bookmarkEnd w:id="2"/>
    <w:bookmarkEnd w:id="3"/>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default" w:ascii="方正小标宋简体" w:hAnsi="方正小标宋简体" w:eastAsia="方正小标宋简体" w:cs="方正小标宋简体"/>
          <w:color w:val="auto"/>
          <w:sz w:val="44"/>
          <w:szCs w:val="44"/>
          <w:highlight w:val="none"/>
        </w:rPr>
        <w:sectPr>
          <w:headerReference r:id="rId13" w:type="default"/>
          <w:footerReference r:id="rId15" w:type="default"/>
          <w:headerReference r:id="rId14" w:type="even"/>
          <w:footerReference r:id="rId16" w:type="even"/>
          <w:type w:val="continuous"/>
          <w:pgSz w:w="11906" w:h="16838"/>
          <w:pgMar w:top="1928" w:right="1531" w:bottom="1757" w:left="1531" w:header="850" w:footer="1134" w:gutter="0"/>
          <w:pgNumType w:fmt="decimal" w:start="1"/>
          <w:cols w:space="0" w:num="1"/>
          <w:rtlGutter w:val="0"/>
          <w:docGrid w:type="lines" w:linePitch="438" w:charSpace="0"/>
        </w:sectPr>
      </w:pPr>
      <w:bookmarkStart w:id="4" w:name="_Toc5927"/>
      <w:bookmarkStart w:id="5" w:name="_Toc6192"/>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default" w:ascii="方正小标宋简体" w:hAnsi="方正小标宋简体" w:eastAsia="方正小标宋简体" w:cs="方正小标宋简体"/>
          <w:color w:val="auto"/>
          <w:sz w:val="44"/>
          <w:szCs w:val="44"/>
          <w:highlight w:val="none"/>
        </w:rPr>
      </w:pPr>
      <w:r>
        <w:rPr>
          <w:rFonts w:hint="default" w:ascii="方正小标宋简体" w:hAnsi="方正小标宋简体" w:eastAsia="方正小标宋简体" w:cs="方正小标宋简体"/>
          <w:color w:val="auto"/>
          <w:sz w:val="44"/>
          <w:szCs w:val="44"/>
          <w:highlight w:val="none"/>
        </w:rPr>
        <w:t>引  言</w:t>
      </w:r>
      <w:bookmarkEnd w:id="4"/>
    </w:p>
    <w:p>
      <w:pPr>
        <w:pStyle w:val="9"/>
        <w:pBdr>
          <w:top w:val="none" w:color="auto" w:sz="0" w:space="1"/>
          <w:left w:val="none" w:color="auto" w:sz="0" w:space="4"/>
          <w:bottom w:val="none" w:color="auto" w:sz="0" w:space="1"/>
          <w:right w:val="none" w:color="auto" w:sz="0" w:space="4"/>
        </w:pBdr>
        <w:overflowPunct w:val="0"/>
        <w:adjustRightInd w:val="0"/>
        <w:snapToGrid w:val="0"/>
        <w:spacing w:line="560" w:lineRule="exact"/>
        <w:ind w:firstLine="64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十五五</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时期在基本实现社会主义现代化进程中具有承前启后的重要地位，是基本实现社会主义现代化夯实基础、全面发力的关键时期，是福建省担当新时代使命任务、在新福建建设中奋勇争先的全面推进期，也是我县立足新发展阶段、贯彻新发展理念、服务和融入新发展格局，奋力谱写高质量发展新篇章、加快现代化建设的重要攻坚期。本规划纲要根据中央、省、市以及我县《关于制定国民经济和社会发展第十五个五年规划的建议》编制，系统谋划</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十五五</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时期发展目标、重大战略任务和实施路径，是我县未来五年经济社会发展的总体谋划和战略部署，也是我县开拓进取、不懈奋斗，奋力谱写中国式现代化尤溪新篇章的重要指引和行动纲领。</w:t>
      </w:r>
    </w:p>
    <w:p>
      <w:pPr>
        <w:ind w:firstLine="64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rPr>
        <w:br w:type="page"/>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zCs w:val="32"/>
          <w:highlight w:val="none"/>
        </w:rPr>
      </w:pPr>
      <w:bookmarkStart w:id="6" w:name="_Toc12643"/>
      <w:r>
        <w:rPr>
          <w:rFonts w:hint="eastAsia" w:ascii="方正小标宋简体" w:hAnsi="方正小标宋简体" w:eastAsia="方正小标宋简体" w:cs="方正小标宋简体"/>
          <w:b w:val="0"/>
          <w:bCs w:val="0"/>
          <w:color w:val="auto"/>
          <w:szCs w:val="32"/>
          <w:highlight w:val="none"/>
        </w:rPr>
        <w:t>第一章 坚定不移推动高质量发展，扎实推进中国式现代化建设尤溪实践</w:t>
      </w:r>
      <w:bookmarkEnd w:id="6"/>
    </w:p>
    <w:p>
      <w:pPr>
        <w:pStyle w:val="9"/>
        <w:pBdr>
          <w:top w:val="none" w:color="auto" w:sz="0" w:space="1"/>
          <w:left w:val="none" w:color="auto" w:sz="0" w:space="4"/>
          <w:bottom w:val="none" w:color="auto" w:sz="0" w:space="1"/>
          <w:right w:val="none" w:color="auto" w:sz="0" w:space="4"/>
        </w:pBdr>
        <w:overflowPunct w:val="0"/>
        <w:adjustRightInd w:val="0"/>
        <w:snapToGrid w:val="0"/>
        <w:spacing w:line="560" w:lineRule="exact"/>
        <w:ind w:firstLine="640"/>
        <w:jc w:val="both"/>
        <w:rPr>
          <w:rFonts w:hint="default" w:ascii="Times New Roman" w:hAnsi="Times New Roman" w:eastAsia="方正仿宋_GB2312" w:cs="Times New Roman"/>
          <w:snapToGrid w:val="0"/>
          <w:color w:val="auto"/>
          <w:szCs w:val="32"/>
          <w:highlight w:val="none"/>
        </w:rPr>
      </w:pPr>
      <w:r>
        <w:rPr>
          <w:rFonts w:hint="default" w:ascii="仿宋_GB2312" w:hAnsi="仿宋_GB2312" w:eastAsia="仿宋_GB2312" w:cs="仿宋_GB2312"/>
          <w:sz w:val="32"/>
          <w:szCs w:val="32"/>
        </w:rPr>
        <w:t>明确</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十五五</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时期的重要地位，全县上下深入学习贯彻习近平总书记对福建及三明工作的重要讲话、重要指示批示精神，牢记总书记对尤溪的殷切嘱托，以在中国式现代化建设中奋勇争先的姿态，全方位推动尤溪国民经济和社会发展再上新台阶，为中国式现代化谱写革命老区振兴发展尤溪新篇章。</w:t>
      </w:r>
    </w:p>
    <w:bookmarkEnd w:id="5"/>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eastAsia" w:ascii="黑体" w:hAnsi="黑体" w:eastAsia="黑体" w:cs="黑体"/>
          <w:b w:val="0"/>
          <w:bCs/>
          <w:snapToGrid w:val="0"/>
          <w:color w:val="auto"/>
          <w:szCs w:val="32"/>
          <w:highlight w:val="none"/>
        </w:rPr>
      </w:pPr>
      <w:bookmarkStart w:id="7" w:name="_Toc12874"/>
      <w:r>
        <w:rPr>
          <w:rFonts w:hint="eastAsia" w:ascii="黑体" w:hAnsi="黑体" w:eastAsia="黑体" w:cs="黑体"/>
          <w:b w:val="0"/>
          <w:bCs/>
          <w:snapToGrid w:val="0"/>
          <w:color w:val="auto"/>
          <w:szCs w:val="32"/>
          <w:highlight w:val="none"/>
        </w:rPr>
        <w:t>第一节 发展基础</w:t>
      </w:r>
      <w:bookmarkEnd w:id="7"/>
    </w:p>
    <w:p>
      <w:pPr>
        <w:pStyle w:val="9"/>
        <w:pBdr>
          <w:top w:val="none" w:color="auto" w:sz="0" w:space="1"/>
          <w:left w:val="none" w:color="auto" w:sz="0" w:space="4"/>
          <w:bottom w:val="none" w:color="auto" w:sz="0" w:space="1"/>
          <w:right w:val="none" w:color="auto" w:sz="0" w:space="4"/>
        </w:pBdr>
        <w:overflowPunct w:val="0"/>
        <w:adjustRightInd w:val="0"/>
        <w:snapToGrid w:val="0"/>
        <w:spacing w:line="560" w:lineRule="exact"/>
        <w:ind w:firstLine="640"/>
        <w:jc w:val="both"/>
        <w:rPr>
          <w:rFonts w:hint="default" w:ascii="Times New Roman" w:hAnsi="Times New Roman" w:eastAsia="方正仿宋_GB2312" w:cs="Times New Roman"/>
          <w:snapToGrid w:val="0"/>
          <w:color w:val="auto"/>
          <w:szCs w:val="32"/>
          <w:highlight w:val="none"/>
        </w:rPr>
      </w:pPr>
      <w:bookmarkStart w:id="8" w:name="_Toc200478023"/>
      <w:bookmarkStart w:id="9" w:name="_Toc17642"/>
      <w:bookmarkStart w:id="10" w:name="_Toc200466980"/>
      <w:bookmarkStart w:id="11" w:name="_Toc200465938"/>
      <w:bookmarkStart w:id="12" w:name="_Toc200466776"/>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十四五</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以来，全县上下准确把握尤溪县经济社会发展现状和变化趋势，聚焦产业转型、区域合作、城乡建设、民生事业、生态文明建设、社会治理等重点领域，取得了丰硕成果，为</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十五五</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期间开启中国式现代化建设尤溪新篇章奠定坚实基础。</w:t>
      </w:r>
      <w:bookmarkEnd w:id="8"/>
      <w:bookmarkEnd w:id="9"/>
      <w:bookmarkEnd w:id="10"/>
      <w:bookmarkEnd w:id="11"/>
      <w:bookmarkEnd w:id="12"/>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楷体_GB2312" w:hAnsi="楷体_GB2312" w:eastAsia="楷体_GB2312" w:cs="楷体_GB2312"/>
          <w:b/>
          <w:bCs/>
          <w:sz w:val="32"/>
          <w:szCs w:val="32"/>
          <w:lang w:val="en-US" w:eastAsia="zh-CN"/>
        </w:rPr>
        <w:t>综合实力持续提升。</w:t>
      </w:r>
      <w:r>
        <w:rPr>
          <w:rFonts w:hint="eastAsia" w:ascii="仿宋_GB2312" w:hAnsi="仿宋_GB2312" w:eastAsia="仿宋_GB2312" w:cs="仿宋_GB2312"/>
          <w:kern w:val="2"/>
          <w:sz w:val="32"/>
          <w:szCs w:val="32"/>
          <w:lang w:val="en-US" w:eastAsia="zh-CN" w:bidi="ar-SA"/>
        </w:rPr>
        <w:t>全县地区生产总值年均增长2.8%，2025年底达245.77亿元。产业结构不断优化，服务业占GDP比重从2021年的42.0%提升到2025年的49.0%；三次产业结构从2021年的22.1：35.9：42.0调整为2025年的24.4:26.6:49.0；全体居民人均可支配收入达36418元，城乡居民收入比缩小至1.67，共同富裕迈出坚实步伐。</w:t>
      </w:r>
    </w:p>
    <w:p>
      <w:pPr>
        <w:keepNext w:val="0"/>
        <w:keepLines w:val="0"/>
        <w:pageBreakBefore w:val="0"/>
        <w:widowControl/>
        <w:kinsoku/>
        <w:wordWrap/>
        <w:overflowPunct/>
        <w:topLinePunct w:val="0"/>
        <w:autoSpaceDE/>
        <w:autoSpaceDN/>
        <w:bidi w:val="0"/>
        <w:adjustRightInd/>
        <w:snapToGrid/>
        <w:spacing w:line="560" w:lineRule="exact"/>
        <w:ind w:firstLine="643"/>
        <w:textAlignment w:val="auto"/>
        <w:rPr>
          <w:rFonts w:hint="default" w:ascii="方正仿宋_GB2312" w:hAnsi="方正仿宋_GB2312" w:eastAsia="方正仿宋_GB2312" w:cs="方正仿宋_GB2312"/>
          <w:snapToGrid w:val="0"/>
          <w:color w:val="auto"/>
          <w:szCs w:val="32"/>
          <w:highlight w:val="none"/>
          <w:lang w:val="en-US" w:eastAsia="zh-CN"/>
        </w:rPr>
      </w:pPr>
      <w:r>
        <w:rPr>
          <w:rFonts w:hint="default" w:ascii="楷体_GB2312" w:hAnsi="楷体_GB2312" w:eastAsia="楷体_GB2312" w:cs="楷体_GB2312"/>
          <w:b/>
          <w:bCs/>
          <w:sz w:val="32"/>
          <w:szCs w:val="32"/>
          <w:lang w:val="en-US" w:eastAsia="zh-CN"/>
        </w:rPr>
        <w:t>产业升级持续提速。</w:t>
      </w:r>
      <w:r>
        <w:rPr>
          <w:rFonts w:hint="default" w:ascii="仿宋_GB2312" w:hAnsi="仿宋_GB2312" w:eastAsia="仿宋_GB2312" w:cs="仿宋_GB2312"/>
          <w:kern w:val="2"/>
          <w:sz w:val="32"/>
          <w:szCs w:val="32"/>
          <w:lang w:val="en-US" w:eastAsia="zh-CN" w:bidi="ar-SA"/>
        </w:rPr>
        <w:t>农业发展特色凸显，连续5年获得国家级制种大县奖励，被列入国家农业绿色发展先行区创建名单，获评全国主要农作物生产全程机械化示范县、全国</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平安农机</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示范县。联合梯田相关农产品获绿色产品认证与国家地理标志商标。纺织业集群效应日益凸显，引进一批延链补链强链项目，推动锦添纺织、六融工业全产业链等一批整染企业</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退城入园</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先后落户城南园，建成全市唯一的精编染整产业集控区，“锦纶长丝—织造（经纬编）—染整—服装”完整产业链集群初见雏形。竹木业打造形成木材加工、竹制品加工等六大产业集群，竹木规上企业突破39家，竹木业产值占全县工业总产值25%以上。矿产业向绿转型，创建国家级绿色矿山1家。工业转型步伐加快，累计实施省市级重点技改项目86项，培育省级工业龙头企业9家、国家高新技术企业28家。纺织业、竹木加工业列入省级县域重点产业链。现代服务业提质增效，新增限上商贸企业144家、规上服务业企业53家。文旅产业蓬勃发展，国家级全域旅游共建共融示范区建设持续推进、</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朱子文化（尤溪）生态保护区</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获批省级文化生态保护区、朱子古街被列入第三批福建省特色步行街。五年累计年接待国内游客3162万人次，国内游客总收入253.27亿元，年均增幅分别达13.35%和11.23%。</w:t>
      </w:r>
    </w:p>
    <w:p>
      <w:pPr>
        <w:keepNext w:val="0"/>
        <w:keepLines w:val="0"/>
        <w:pageBreakBefore w:val="0"/>
        <w:widowControl/>
        <w:kinsoku/>
        <w:wordWrap/>
        <w:overflowPunct/>
        <w:topLinePunct w:val="0"/>
        <w:autoSpaceDE/>
        <w:autoSpaceDN/>
        <w:bidi w:val="0"/>
        <w:adjustRightInd/>
        <w:snapToGrid/>
        <w:spacing w:line="560" w:lineRule="exact"/>
        <w:ind w:firstLine="643"/>
        <w:textAlignment w:val="auto"/>
        <w:rPr>
          <w:rFonts w:hint="default" w:ascii="方正仿宋_GB2312" w:hAnsi="方正仿宋_GB2312" w:eastAsia="方正仿宋_GB2312" w:cs="方正仿宋_GB2312"/>
          <w:snapToGrid w:val="0"/>
          <w:color w:val="auto"/>
          <w:szCs w:val="32"/>
          <w:highlight w:val="none"/>
          <w:lang w:val="en-US" w:eastAsia="zh-CN"/>
        </w:rPr>
      </w:pPr>
      <w:r>
        <w:rPr>
          <w:rFonts w:hint="default" w:ascii="楷体_GB2312" w:hAnsi="楷体_GB2312" w:eastAsia="楷体_GB2312" w:cs="楷体_GB2312"/>
          <w:b/>
          <w:bCs/>
          <w:sz w:val="32"/>
          <w:szCs w:val="32"/>
          <w:lang w:val="en-US" w:eastAsia="zh-CN"/>
        </w:rPr>
        <w:t>基础设施持续完善。</w:t>
      </w:r>
      <w:r>
        <w:rPr>
          <w:rFonts w:hint="default" w:ascii="仿宋_GB2312" w:hAnsi="仿宋_GB2312" w:eastAsia="仿宋_GB2312" w:cs="仿宋_GB2312"/>
          <w:kern w:val="2"/>
          <w:sz w:val="32"/>
          <w:szCs w:val="32"/>
          <w:lang w:val="en-US" w:eastAsia="zh-CN" w:bidi="ar-SA"/>
        </w:rPr>
        <w:t>交通网络日趋完善，开通高速服务区后通道3个，国道G235线尤溪西城至新阳公路、省道S215线尤溪联建至西城互通段建成通车，省道S308线尤溪下村至玉池公路稳步推进，国道G534线尤溪象山至坂面段公路开工建设，国省干线高等级公路占比提升16.3%，实施国省道路况提升攻坚行动，累计完成92.929公里次差路面改造。新建改造农村公路227.3公里，铺装路和等级路比例分别达82.37%和84.04%，尤溪县公交综合场站及汽车东站建成并投入使用。城市框架不断拓展，老旧小区改造比例提升至85%，污水管网新建改造57.32公里，常住人口城镇化率提升至55.41%以上。乡村振兴成果显著，全县1个乡镇、23个村入选省级乡村振兴重点示范镇（村）创建单位，形成以半山村、桂峰村为代表的国家级、省级示范样板；成功申报省级历史文化名镇名村传统村落集中连片保护示范县，梅仙村等3个村获评第六批国家级传统村落。数字基建提速增效，5G实现城乡深度覆盖，建成紧密型医共体县域卫生健康综合信息平台、智慧养老服务体系，形成分级诊疗的医养结合服务体系；</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互联网+教育</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智慧校园建设实现数字化基础支撑，实现教育系统万级互联，校际汇聚网络达千兆标准，乡镇学校带宽全面升级至百兆；尤溪县融媒体中心自主研发数字乡村公共服务平台，服务覆盖全县所有乡镇、行政村，</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智慧尤溪</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APP访问量突破1亿人次。</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方正仿宋_GB2312" w:hAnsi="方正仿宋_GB2312" w:eastAsia="方正仿宋_GB2312" w:cs="方正仿宋_GB2312"/>
          <w:snapToGrid w:val="0"/>
          <w:color w:val="auto"/>
          <w:kern w:val="2"/>
          <w:sz w:val="32"/>
          <w:szCs w:val="32"/>
          <w:highlight w:val="none"/>
          <w:lang w:val="en-US" w:eastAsia="zh-CN" w:bidi="ar-SA"/>
        </w:rPr>
      </w:pPr>
      <w:r>
        <w:rPr>
          <w:rFonts w:hint="default" w:ascii="楷体_GB2312" w:hAnsi="楷体_GB2312" w:eastAsia="楷体_GB2312" w:cs="楷体_GB2312"/>
          <w:b/>
          <w:bCs/>
          <w:kern w:val="2"/>
          <w:sz w:val="32"/>
          <w:szCs w:val="32"/>
          <w:lang w:val="en-US" w:eastAsia="zh-CN" w:bidi="ar-SA"/>
        </w:rPr>
        <w:t>改革开放持续深化。</w:t>
      </w:r>
      <w:r>
        <w:rPr>
          <w:rFonts w:hint="default" w:ascii="仿宋_GB2312" w:hAnsi="仿宋_GB2312" w:eastAsia="仿宋_GB2312" w:cs="仿宋_GB2312"/>
          <w:kern w:val="2"/>
          <w:sz w:val="32"/>
          <w:szCs w:val="32"/>
          <w:lang w:val="en-US" w:eastAsia="zh-CN" w:bidi="ar-SA"/>
        </w:rPr>
        <w:t>持续深化医改，推动全民健康管理工程，推进国家慢性病综合防控示范区、省级区域医疗中心建设，基层卫生综合改革、紧密型医共体的做法被国家卫健委认可并在全国推广。慢性病</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四分管理</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模式入选国家卫健委</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基本公共卫生十五年</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15个典型案例之一。林改推陈出新，入选全省集体林权制度</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三多</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改革试点县，林业行政执法</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一带三</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模式得到国家林草局充分肯定并在全国推广。农村产权交易改革走在前列，成立全市首家农村产权流转服务公司，首创农村小微工程反向竞价交易模式。成功通过</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福建省客货邮融合发展县</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验收，融合发展经验入选全省典型案例和交通运输部农村物流高质量发展典型案例。融媒体改革经验入选中国新媒体蓝皮书等一批典型经验案例，作为全省首个县域传媒集团的福建朱子文化传媒集团的</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四创四融</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模式成为全国县级媒体融合改革标杆样本。在全省首创</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文化特派员</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制度，推动优质文化资源直达基层，入选省委持续深化拓展</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三争</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行动典型案例。</w:t>
      </w:r>
    </w:p>
    <w:p>
      <w:pPr>
        <w:pStyle w:val="7"/>
        <w:keepNext w:val="0"/>
        <w:keepLines w:val="0"/>
        <w:pageBreakBefore w:val="0"/>
        <w:widowControl w:val="0"/>
        <w:kinsoku/>
        <w:wordWrap/>
        <w:overflowPunct/>
        <w:topLinePunct w:val="0"/>
        <w:autoSpaceDE/>
        <w:autoSpaceDN/>
        <w:bidi w:val="0"/>
        <w:adjustRightInd/>
        <w:snapToGrid/>
        <w:spacing w:line="560" w:lineRule="exact"/>
        <w:ind w:firstLine="643"/>
        <w:jc w:val="both"/>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区域合作持续拓展。</w:t>
      </w:r>
      <w:r>
        <w:rPr>
          <w:rFonts w:hint="default" w:ascii="仿宋_GB2312" w:hAnsi="仿宋_GB2312" w:eastAsia="仿宋_GB2312" w:cs="仿宋_GB2312"/>
          <w:kern w:val="2"/>
          <w:sz w:val="32"/>
          <w:szCs w:val="32"/>
          <w:lang w:val="en-US" w:eastAsia="zh-CN" w:bidi="ar-SA"/>
        </w:rPr>
        <w:t>沪明对口合作深入推进，成立尤溪现代农业（食用菌）上海人才驿站、沪明对口合作—尤溪专家工作站，签订6组院校企合作协议，共建</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高端纺织时尚产业园</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山海协作不断深化，尤溪与泉州晋江两地9对乡镇结对帮扶，争取帮扶资金3260万元。吸引上海、泉州职工来尤开展职工疗休养113余批次。对口支援提质升级，中行总行派驻干部挂职我县，争取省司法厅、兴业银行等省直部门单位挂钩帮扶，获得资金支持3亿多元。闽台合作走深走实，成功举办第十三届、十四届海峡论坛尤溪分会场、第三届考亭论坛等活动，纪念朱子诞辰895周年系列活动被国台办列为2025年对台重点交流项目，吸引46批次、1505名台胞来尤参访交流，联合镇入选闽台乡建乡创合作样板集镇。</w:t>
      </w:r>
    </w:p>
    <w:p>
      <w:pPr>
        <w:keepNext w:val="0"/>
        <w:keepLines w:val="0"/>
        <w:pageBreakBefore w:val="0"/>
        <w:widowControl/>
        <w:kinsoku/>
        <w:wordWrap/>
        <w:overflowPunct/>
        <w:topLinePunct w:val="0"/>
        <w:autoSpaceDE/>
        <w:autoSpaceDN/>
        <w:bidi w:val="0"/>
        <w:adjustRightInd/>
        <w:snapToGrid/>
        <w:spacing w:line="560" w:lineRule="exact"/>
        <w:ind w:firstLine="643"/>
        <w:textAlignment w:val="auto"/>
        <w:rPr>
          <w:rFonts w:hint="default" w:ascii="方正仿宋_GB2312" w:hAnsi="方正仿宋_GB2312" w:eastAsia="方正仿宋_GB2312" w:cs="方正仿宋_GB2312"/>
          <w:snapToGrid w:val="0"/>
          <w:color w:val="auto"/>
          <w:szCs w:val="32"/>
          <w:highlight w:val="none"/>
          <w:lang w:val="en-US" w:eastAsia="zh-CN"/>
        </w:rPr>
      </w:pPr>
      <w:r>
        <w:rPr>
          <w:rFonts w:hint="default" w:ascii="楷体_GB2312" w:hAnsi="楷体_GB2312" w:eastAsia="楷体_GB2312" w:cs="楷体_GB2312"/>
          <w:b/>
          <w:bCs/>
          <w:sz w:val="32"/>
          <w:szCs w:val="32"/>
          <w:lang w:val="en-US" w:eastAsia="zh-CN"/>
        </w:rPr>
        <w:t>生态优势持续彰显。</w:t>
      </w:r>
      <w:r>
        <w:rPr>
          <w:rFonts w:hint="default" w:ascii="仿宋_GB2312" w:hAnsi="仿宋_GB2312" w:eastAsia="仿宋_GB2312" w:cs="仿宋_GB2312"/>
          <w:kern w:val="2"/>
          <w:sz w:val="32"/>
          <w:szCs w:val="32"/>
          <w:lang w:val="en-US" w:eastAsia="zh-CN" w:bidi="ar-SA"/>
        </w:rPr>
        <w:t>筑牢森林生态屏障，森林覆盖率稳定在78.25%，森林蓄积量达2850万立方米，居全省前列。擦亮河湖生态底色，深化落实河湖长制、</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晒水、议水、评水</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工作机制，全县中、小河流乡镇交接断面水质达标率、优良水质比例、饮用水水源地水质达标率均达到100%，闽湖入选福建省第一批美丽河湖优秀案例。拓展城市生态空间，城市绿化建设持续推进，累计建设生态绿道52.02公里、城市公园6个、口袋公园17个，新增公园绿地45.1万平方米，人均公园绿地面积达14.62平方米，城区环境空气质量优良率逐年提升。努力实现</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两山</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价值转化，新增4家省级、5家国家级绿色工厂、1家绿色供应链管理企业和1个省级绿色工业园区，绿色制造体系培育数量位居全市前列；新增省级森林康养小镇3个，三星级森林人家4个，省级森林康养基地5个，生动践行了</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绿水青山就是金山银山</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理念。</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方正仿宋_GB2312" w:cs="Times New Roman"/>
          <w:snapToGrid w:val="0"/>
          <w:color w:val="auto"/>
          <w:kern w:val="2"/>
          <w:sz w:val="32"/>
          <w:szCs w:val="32"/>
          <w:highlight w:val="none"/>
          <w:lang w:val="en-US" w:eastAsia="zh-CN" w:bidi="ar-SA"/>
        </w:rPr>
      </w:pPr>
      <w:r>
        <w:rPr>
          <w:rFonts w:hint="default" w:ascii="楷体_GB2312" w:hAnsi="楷体_GB2312" w:eastAsia="楷体_GB2312" w:cs="楷体_GB2312"/>
          <w:b/>
          <w:bCs/>
          <w:sz w:val="32"/>
          <w:szCs w:val="32"/>
          <w:lang w:val="en-US" w:eastAsia="zh-CN"/>
        </w:rPr>
        <w:t>民生福祉持续改善。</w:t>
      </w:r>
      <w:r>
        <w:rPr>
          <w:rFonts w:hint="default" w:ascii="仿宋_GB2312" w:hAnsi="仿宋_GB2312" w:eastAsia="仿宋_GB2312" w:cs="仿宋_GB2312"/>
          <w:kern w:val="2"/>
          <w:sz w:val="32"/>
          <w:szCs w:val="32"/>
          <w:lang w:val="en-US" w:eastAsia="zh-CN" w:bidi="ar-SA"/>
        </w:rPr>
        <w:t>教育事业优先发展，实施教育基础设施项目62个，新增学位10050个。体育服务优化升级，县体育运动中心改造提升项目获得体育彩票公益金3000万元支持，县体育运动中心荣获</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全国群众体育先进单位</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称号。医疗服务稳步提升，每千常住人口医疗机构床位达5.6张、每万常住人口全科医生达6.7名。社保体系更加健全，医保、养老保险年均参保率分别达98%、95%。养老体系逐步完善，新建长者食堂23个、乐龄学堂27个、改造提升农村幸福院87个，村级养老服务设施覆盖率100%，每千人养老床位34.6张。稳岗拓岗有序推进，累计开发政策性公益岗位690个，实现新增城镇就业7115人。脱贫成果巩固拓展，全县脱贫人口人均纯收入连续五年比增10%以上，平稳度过过渡期。推进全域平安稳定示范县建设，社会大局持续保持稳定，基层社会治理不断创新。2023年度我县获评</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全国信访工作示范县</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，县人民法院获评</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全国维护妇女儿童权益先进集体</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蒲公英+朱子家训</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普法模式入选中央依法治国办市县法治建设案例。</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eastAsia" w:ascii="黑体" w:hAnsi="黑体" w:eastAsia="黑体" w:cs="黑体"/>
          <w:b w:val="0"/>
          <w:bCs/>
          <w:snapToGrid w:val="0"/>
          <w:color w:val="auto"/>
          <w:szCs w:val="32"/>
          <w:highlight w:val="none"/>
        </w:rPr>
      </w:pPr>
      <w:bookmarkStart w:id="13" w:name="_Toc15152"/>
      <w:r>
        <w:rPr>
          <w:rFonts w:hint="eastAsia" w:ascii="黑体" w:hAnsi="黑体" w:eastAsia="黑体" w:cs="黑体"/>
          <w:b w:val="0"/>
          <w:bCs/>
          <w:snapToGrid w:val="0"/>
          <w:color w:val="auto"/>
          <w:szCs w:val="32"/>
          <w:highlight w:val="none"/>
        </w:rPr>
        <w:t>第二节 发展机遇与环境</w:t>
      </w:r>
      <w:bookmarkEnd w:id="13"/>
    </w:p>
    <w:p>
      <w:pPr>
        <w:pStyle w:val="7"/>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当前，世界百年未有之大变局加速演进，新一代信息技术发展日新月异，贸易保护主义和单边主义盛行，经济社会发展环境发生深刻变化，全球产业链重构加速，倒逼产业创新和结构调整，为开辟新产业、新领域提供了新思路、新方向。</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从全国看，</w:t>
      </w:r>
      <w:r>
        <w:rPr>
          <w:rFonts w:hint="default" w:ascii="仿宋_GB2312" w:hAnsi="仿宋_GB2312" w:eastAsia="仿宋_GB2312" w:cs="仿宋_GB2312"/>
          <w:kern w:val="2"/>
          <w:sz w:val="32"/>
          <w:szCs w:val="32"/>
          <w:lang w:val="en-US" w:eastAsia="zh-CN" w:bidi="ar-SA"/>
        </w:rPr>
        <w:t>我国经济长期向好趋势稳固，制度、市场、产业体系及人才资源优势为县域发展筑牢宏观根基。</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十五五</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期间，新型城镇化纵深推进、</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双碳</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目标落地及文旅消费升级等全国性趋势，与尤溪78.25%森林覆盖率的生态禀赋、朱子文化底蕴及绿色产业基础高度契合，为其在绿色制造、文旅融合、特色农产品供给等领域对接全国市场、找准差异化定位提供广阔空间。</w:t>
      </w:r>
    </w:p>
    <w:p>
      <w:pPr>
        <w:keepNext w:val="0"/>
        <w:keepLines w:val="0"/>
        <w:pageBreakBefore w:val="0"/>
        <w:widowControl/>
        <w:kinsoku/>
        <w:wordWrap/>
        <w:overflowPunct/>
        <w:topLinePunct w:val="0"/>
        <w:autoSpaceDE/>
        <w:autoSpaceDN/>
        <w:bidi w:val="0"/>
        <w:adjustRightInd/>
        <w:snapToGrid/>
        <w:spacing w:line="560" w:lineRule="exact"/>
        <w:ind w:firstLine="643"/>
        <w:jc w:val="both"/>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从全省看，</w:t>
      </w:r>
      <w:r>
        <w:rPr>
          <w:rFonts w:hint="default" w:ascii="仿宋_GB2312" w:hAnsi="仿宋_GB2312" w:eastAsia="仿宋_GB2312" w:cs="仿宋_GB2312"/>
          <w:kern w:val="2"/>
          <w:sz w:val="32"/>
          <w:szCs w:val="32"/>
          <w:lang w:val="en-US" w:eastAsia="zh-CN" w:bidi="ar-SA"/>
        </w:rPr>
        <w:t>福建坐拥闽台融合发展示范区、21世纪海上丝绸之路核心区等多重政策红利，习近平总书记来闽考察赋予的</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奋勇争先</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使命，为全省发展注入强劲动力。尤溪立足闽中枢纽区位，深度融入全省大局、主动对接国家</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双循环</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，精准衔接文旅经济、绿色制造等省级部署，在产业承接、对台文化交流上争取政策项目支持，将朱子文化核心品牌与生态优势转化为全省格局中的独特竞争力。</w:t>
      </w:r>
    </w:p>
    <w:p>
      <w:pPr>
        <w:spacing w:line="560" w:lineRule="exact"/>
        <w:ind w:firstLine="643"/>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从全市看，</w:t>
      </w:r>
      <w:r>
        <w:rPr>
          <w:rFonts w:hint="default" w:ascii="仿宋_GB2312" w:hAnsi="仿宋_GB2312" w:eastAsia="仿宋_GB2312" w:cs="仿宋_GB2312"/>
          <w:kern w:val="2"/>
          <w:sz w:val="32"/>
          <w:szCs w:val="32"/>
          <w:lang w:val="en-US" w:eastAsia="zh-CN" w:bidi="ar-SA"/>
        </w:rPr>
        <w:t>三明聚焦闽西革命老区高质量发展示范区建设，沪明对口合作红利持续释放。尤溪作为三明重点县，可主动承接沪明对口合作产业溢出与沿海转移，培育纺织等特色产业集群；同时深度参与</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风展红旗 如画三明</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品牌共建，强化与周边县区基础设施联通和产业协作，在文旅融合、生态保护领域打造标杆片区，共享区域协同发展成果。</w:t>
      </w:r>
    </w:p>
    <w:p>
      <w:pPr>
        <w:spacing w:line="560" w:lineRule="exact"/>
        <w:ind w:firstLine="643"/>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从全县看，</w:t>
      </w:r>
      <w:r>
        <w:rPr>
          <w:rFonts w:hint="default" w:ascii="仿宋_GB2312" w:hAnsi="仿宋_GB2312" w:eastAsia="仿宋_GB2312" w:cs="仿宋_GB2312"/>
          <w:kern w:val="2"/>
          <w:sz w:val="32"/>
          <w:szCs w:val="32"/>
          <w:lang w:val="en-US" w:eastAsia="zh-CN" w:bidi="ar-SA"/>
        </w:rPr>
        <w:t>尤溪自身优势叠加外部政策赋能，发展动能持续集聚。融入闽西南和闽东北双轮驱动格局，可全面对接福厦泉等发达地区，在产业协作、资源共享、人才交流等方面拓宽发展空间；沪明对口合作、山海协作项目落地，为纺织、农产品加工等优势特色产业带来技术、市场等协同机遇；良好生态禀赋可转化为生态旅游、绿色农业等产业优势；新型城镇化推进与重点领域改革深化，将持续优化营商环境，释放要素配置活力；朱子文化与旅游产业深度融合，将进一步激活文化软实力，推动全域旅游提质增效，为县域发展注入内生动力。</w:t>
      </w:r>
    </w:p>
    <w:p>
      <w:pPr>
        <w:spacing w:line="560" w:lineRule="exact"/>
        <w:ind w:firstLine="643"/>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sz w:val="32"/>
          <w:szCs w:val="32"/>
          <w:lang w:val="en-US" w:eastAsia="zh-CN"/>
        </w:rPr>
        <w:t>尤溪县面临的挑战。</w:t>
      </w:r>
      <w:r>
        <w:rPr>
          <w:rFonts w:hint="default" w:ascii="仿宋_GB2312" w:hAnsi="仿宋_GB2312" w:eastAsia="仿宋_GB2312" w:cs="仿宋_GB2312"/>
          <w:kern w:val="2"/>
          <w:sz w:val="32"/>
          <w:szCs w:val="32"/>
          <w:lang w:val="en-US" w:eastAsia="zh-CN" w:bidi="ar-SA"/>
        </w:rPr>
        <w:t>产业结构层次仍需提升。主导产业以纺织、竹木加工为主，技术含量与附加值偏低，高端产品研发能力不足，产业链偏短、协同不够紧密，核心竞争力有待增强。</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一产不优、二产不强、三产不大</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的问题依然存在。规上工业企业偏少，专精特新企业实力不强，中小微企业发展受限，域内外投资动力不足，产业能级亟待提升。财政收支平衡压力持续加大，经济增长放缓背景下，实体经济经营困难导致税源增长乏力，财政收入面临瓶颈，而民生保障刚性支出持续增加，财政收支矛盾较突出。平台载体与基础设施支撑不足，园区定位有待明确、基础设施有待完善、创新投入受限，难以带动全域协同发展；交通网络有待完善，城镇辐射带动能力较弱。社会治理与民生保障仍存在短板，需持续加大投入力度加以补齐。</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color w:val="auto"/>
          <w:szCs w:val="32"/>
          <w:highlight w:val="none"/>
        </w:rPr>
      </w:pPr>
      <w:bookmarkStart w:id="14" w:name="_Toc5535"/>
      <w:bookmarkStart w:id="15" w:name="_Toc29214"/>
      <w:bookmarkStart w:id="16" w:name="_Toc28600"/>
      <w:bookmarkStart w:id="17" w:name="_Toc20057"/>
      <w:bookmarkStart w:id="18" w:name="_Toc1873"/>
      <w:bookmarkStart w:id="19" w:name="_Toc12230"/>
      <w:bookmarkStart w:id="20" w:name="_Toc31072"/>
      <w:bookmarkStart w:id="21" w:name="_Toc27570"/>
      <w:r>
        <w:rPr>
          <w:rFonts w:hint="eastAsia" w:ascii="方正小标宋简体" w:hAnsi="方正小标宋简体" w:eastAsia="方正小标宋简体" w:cs="方正小标宋简体"/>
          <w:color w:val="auto"/>
          <w:szCs w:val="32"/>
          <w:highlight w:val="none"/>
        </w:rPr>
        <w:t>第二章 擘画发展新蓝图</w:t>
      </w:r>
      <w:bookmarkEnd w:id="14"/>
      <w:bookmarkEnd w:id="15"/>
      <w:bookmarkEnd w:id="16"/>
      <w:r>
        <w:rPr>
          <w:rFonts w:hint="eastAsia" w:ascii="方正小标宋简体" w:hAnsi="方正小标宋简体" w:eastAsia="方正小标宋简体" w:cs="方正小标宋简体"/>
          <w:color w:val="auto"/>
          <w:szCs w:val="32"/>
          <w:highlight w:val="none"/>
        </w:rPr>
        <w:t>，在中国式现代化建设中奋勇争先</w:t>
      </w:r>
      <w:bookmarkEnd w:id="17"/>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snapToGrid w:val="0"/>
          <w:color w:val="auto"/>
          <w:szCs w:val="32"/>
          <w:highlight w:val="none"/>
        </w:rPr>
      </w:pPr>
      <w:bookmarkStart w:id="22" w:name="_Toc22846"/>
      <w:r>
        <w:rPr>
          <w:rFonts w:hint="default" w:ascii="黑体" w:hAnsi="黑体" w:eastAsia="黑体" w:cs="黑体"/>
          <w:b w:val="0"/>
          <w:bCs/>
          <w:snapToGrid w:val="0"/>
          <w:color w:val="auto"/>
          <w:szCs w:val="32"/>
          <w:highlight w:val="none"/>
        </w:rPr>
        <w:t>第一节 指导思想</w:t>
      </w:r>
      <w:bookmarkEnd w:id="18"/>
      <w:bookmarkEnd w:id="19"/>
      <w:bookmarkEnd w:id="20"/>
      <w:bookmarkEnd w:id="21"/>
      <w:bookmarkEnd w:id="22"/>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坚持马克思列宁主义、毛泽东思想、邓小平理论、</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三个代表</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重要思想、科学发展观，全面贯彻习近平新时代中国特色社会主义思想，深入贯彻党的二十大和二十届历次全会精神，深入贯彻落实习近平总书记对福建、对三明工作的重要讲话、重要指示批示精神。紧紧围绕在中国式现代化建设中奋勇争先，奋力谱写机制活、产业优、百姓富、生态美的新福建这一主线，高质量推进海峡两岸融合发展示范区建设这一使命，建设革命老区高质量发展示范区这一任务，锚定</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工业强县、农业富县、文旅兴县</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的目标定位，统筹推进</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五位一体</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总体布局，协调推进</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四个全面</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战略布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着力推动产业提质升级，着力深化科创产业融合，着力促进城乡融合发展，着力推进重点领域改革，着力加快绿色低碳转型，着力提升发展质量效益，推动人的全面发展、全体人民共同富裕迈出坚实步伐，确保基本实现社会主义现代化取得决定性进展。</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3" w:name="_Toc9102"/>
      <w:bookmarkStart w:id="24" w:name="_Toc24257"/>
      <w:bookmarkStart w:id="25" w:name="_Toc30151"/>
      <w:bookmarkStart w:id="26" w:name="_Toc16801"/>
      <w:bookmarkStart w:id="27" w:name="_Toc11603"/>
      <w:r>
        <w:rPr>
          <w:rFonts w:hint="default" w:ascii="黑体" w:hAnsi="黑体" w:eastAsia="黑体" w:cs="黑体"/>
          <w:b w:val="0"/>
          <w:bCs/>
          <w:snapToGrid w:val="0"/>
          <w:color w:val="auto"/>
          <w:szCs w:val="32"/>
          <w:highlight w:val="none"/>
        </w:rPr>
        <w:t>第二节 基本原则</w:t>
      </w:r>
      <w:bookmarkEnd w:id="23"/>
      <w:bookmarkEnd w:id="24"/>
      <w:bookmarkEnd w:id="25"/>
      <w:bookmarkEnd w:id="26"/>
      <w:bookmarkEnd w:id="27"/>
    </w:p>
    <w:p>
      <w:pPr>
        <w:spacing w:line="560" w:lineRule="exact"/>
        <w:ind w:firstLine="643"/>
        <w:rPr>
          <w:rFonts w:hint="default" w:ascii="方正仿宋_GB2312" w:hAnsi="方正仿宋_GB2312" w:eastAsia="方正仿宋_GB2312" w:cs="方正仿宋_GB2312"/>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坚持党的全面领导。</w:t>
      </w:r>
      <w:r>
        <w:rPr>
          <w:rFonts w:hint="default" w:ascii="仿宋_GB2312" w:hAnsi="仿宋_GB2312" w:eastAsia="仿宋_GB2312" w:cs="仿宋_GB2312"/>
          <w:kern w:val="2"/>
          <w:sz w:val="32"/>
          <w:szCs w:val="32"/>
          <w:lang w:val="en-US" w:eastAsia="zh-CN" w:bidi="ar-SA"/>
        </w:rPr>
        <w:t>发挥党总揽全局、协调各方的领导核心作用，健全完善党领导经济社会发展的体制机制，不断提高贯彻新发展理念、构建新发展格局、全面深化改革的能力和水平，为高质量发展提供根本保证。</w:t>
      </w:r>
    </w:p>
    <w:p>
      <w:pPr>
        <w:spacing w:line="560" w:lineRule="exact"/>
        <w:ind w:firstLine="643"/>
        <w:rPr>
          <w:rFonts w:hint="default" w:ascii="方正仿宋_GB2312" w:hAnsi="方正仿宋_GB2312" w:eastAsia="方正仿宋_GB2312" w:cs="方正仿宋_GB2312"/>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坚持人民至上。</w:t>
      </w:r>
      <w:r>
        <w:rPr>
          <w:rFonts w:hint="default" w:ascii="仿宋_GB2312" w:hAnsi="仿宋_GB2312" w:eastAsia="仿宋_GB2312" w:cs="仿宋_GB2312"/>
          <w:kern w:val="2"/>
          <w:sz w:val="32"/>
          <w:szCs w:val="32"/>
          <w:lang w:val="en-US" w:eastAsia="zh-CN" w:bidi="ar-SA"/>
        </w:rPr>
        <w:t>坚持把增进民生福祉作为发展的出发点和落脚点，以绿色发展提升城市建设品质、以良好生态赋能乡村振兴质量、以绿水青山守护生态环境颜值，持续推动城市更新，加强普惠性、基础性、兜底性民生建设，守牢社会稳定安全红线，让发展成果惠及全县人民。</w:t>
      </w:r>
    </w:p>
    <w:p>
      <w:pPr>
        <w:spacing w:line="560" w:lineRule="exact"/>
        <w:ind w:firstLine="643"/>
        <w:rPr>
          <w:rFonts w:hint="default" w:ascii="方正仿宋_GB2312" w:hAnsi="方正仿宋_GB2312" w:eastAsia="方正仿宋_GB2312" w:cs="方正仿宋_GB2312"/>
          <w:snapToGrid w:val="0"/>
          <w:color w:val="auto"/>
          <w:szCs w:val="32"/>
          <w:highlight w:val="none"/>
          <w:lang w:val="en-US" w:eastAsia="zh-CN"/>
        </w:rPr>
      </w:pPr>
      <w:r>
        <w:rPr>
          <w:rFonts w:hint="default" w:ascii="楷体_GB2312" w:hAnsi="楷体_GB2312" w:eastAsia="楷体_GB2312" w:cs="楷体_GB2312"/>
          <w:b/>
          <w:bCs/>
          <w:sz w:val="32"/>
          <w:szCs w:val="32"/>
          <w:lang w:val="en-US" w:eastAsia="zh-CN"/>
        </w:rPr>
        <w:t>坚持高质量发展。</w:t>
      </w:r>
      <w:r>
        <w:rPr>
          <w:rFonts w:hint="default" w:ascii="仿宋_GB2312" w:hAnsi="仿宋_GB2312" w:eastAsia="仿宋_GB2312" w:cs="仿宋_GB2312"/>
          <w:kern w:val="2"/>
          <w:sz w:val="32"/>
          <w:szCs w:val="32"/>
          <w:lang w:val="en-US" w:eastAsia="zh-CN" w:bidi="ar-SA"/>
        </w:rPr>
        <w:t>以新发展理念为引领，因地制宜发展新质生产力，推动经济质效提升与总量合理增长。深耕全国生态县优势，深化</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两山</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价值转化，以</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五美建设</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筑牢生态标杆；强化产业根基，加快推动纺织、竹木、矿产等传统产业升级，培育壮大机械电子等新兴产业；激活朱子文化核心动能，做响文旅融合大文章，推动三产融合与价值链提升；前瞻谋划低空经济等未来产业，坚持走科技创新与产业创新融合发展新路，筑牢县域经济发展的产业支撑。</w:t>
      </w:r>
    </w:p>
    <w:p>
      <w:pPr>
        <w:spacing w:line="560" w:lineRule="exact"/>
        <w:ind w:firstLine="643"/>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坚持全面深化改革。</w:t>
      </w:r>
      <w:r>
        <w:rPr>
          <w:rFonts w:hint="default" w:ascii="仿宋_GB2312" w:hAnsi="仿宋_GB2312" w:eastAsia="仿宋_GB2312" w:cs="仿宋_GB2312"/>
          <w:kern w:val="2"/>
          <w:sz w:val="32"/>
          <w:szCs w:val="32"/>
          <w:lang w:val="en-US" w:eastAsia="zh-CN" w:bidi="ar-SA"/>
        </w:rPr>
        <w:t>聚焦制约高质量发展的体制机制障碍，推动规划实施与改革部署有机衔接。持续深化医改、林改、融媒体、</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文特派</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等改革。优化营商环境，优化审批流程，强化要素保障与政策创新，聚焦重点产业链，创新产业组织模式，打造</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小而精</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产业集群领域和关键环节，继续大胆试、大胆闯、自主改。</w:t>
      </w:r>
    </w:p>
    <w:p>
      <w:pPr>
        <w:spacing w:line="560" w:lineRule="exact"/>
        <w:ind w:firstLine="643"/>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坚持区域协调发展。</w:t>
      </w:r>
      <w:r>
        <w:rPr>
          <w:rFonts w:hint="default" w:ascii="仿宋_GB2312" w:hAnsi="仿宋_GB2312" w:eastAsia="仿宋_GB2312" w:cs="仿宋_GB2312"/>
          <w:kern w:val="2"/>
          <w:sz w:val="32"/>
          <w:szCs w:val="32"/>
          <w:lang w:val="en-US" w:eastAsia="zh-CN" w:bidi="ar-SA"/>
        </w:rPr>
        <w:t>统筹推进区域协调发展战略、主体功能区战略、新型城镇化战略、乡村振兴战略，主动融入</w:t>
      </w:r>
      <w:r>
        <w:rPr>
          <w:rFonts w:hint="eastAsia" w:ascii="仿宋_GB2312" w:hAnsi="仿宋_GB2312" w:eastAsia="仿宋_GB2312" w:cs="仿宋_GB2312"/>
          <w:kern w:val="2"/>
          <w:sz w:val="32"/>
          <w:szCs w:val="32"/>
          <w:lang w:val="en-US" w:eastAsia="zh-CN" w:bidi="ar-SA"/>
        </w:rPr>
        <w:t>“福州都市圈”</w:t>
      </w:r>
      <w:r>
        <w:rPr>
          <w:rFonts w:hint="default" w:ascii="仿宋_GB2312" w:hAnsi="仿宋_GB2312" w:eastAsia="仿宋_GB2312" w:cs="仿宋_GB2312"/>
          <w:kern w:val="2"/>
          <w:sz w:val="32"/>
          <w:szCs w:val="32"/>
          <w:lang w:val="en-US" w:eastAsia="zh-CN" w:bidi="ar-SA"/>
        </w:rPr>
        <w:t>发展，深化沪明对口合作、新时代山海协作、两岸融合发展、闽台乡建乡创，有效激发县域发展活力。</w:t>
      </w:r>
    </w:p>
    <w:p>
      <w:pPr>
        <w:spacing w:line="560" w:lineRule="exact"/>
        <w:ind w:firstLine="643"/>
        <w:rPr>
          <w:rFonts w:hint="default" w:ascii="方正仿宋_GB2312" w:hAnsi="方正仿宋_GB2312" w:eastAsia="方正仿宋_GB2312" w:cs="方正仿宋_GB2312"/>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坚持统筹发展和安全。</w:t>
      </w:r>
      <w:r>
        <w:rPr>
          <w:rFonts w:hint="default" w:ascii="仿宋_GB2312" w:hAnsi="仿宋_GB2312" w:eastAsia="仿宋_GB2312" w:cs="仿宋_GB2312"/>
          <w:kern w:val="2"/>
          <w:sz w:val="32"/>
          <w:szCs w:val="32"/>
          <w:lang w:val="en-US" w:eastAsia="zh-CN" w:bidi="ar-SA"/>
        </w:rPr>
        <w:t>坚持在发展中固安全、在安全中谋发展，强化底线思维。严守生态安全底线，以河湖长制筑牢水环境屏障；筑牢经济安全屏障，防范纺织、竹木等传统产业转型风险，增强产业韧性；守牢社会安全红线，提升基层医疗服务能力，强化社会治安治理，以新安全格局保障朱子故里新发展格局。</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8" w:name="_Toc27345"/>
      <w:bookmarkStart w:id="29" w:name="_Toc13225"/>
      <w:bookmarkStart w:id="30" w:name="_Toc15361"/>
      <w:bookmarkStart w:id="31" w:name="_Toc27754"/>
      <w:bookmarkStart w:id="32" w:name="_Toc10933"/>
      <w:bookmarkStart w:id="33" w:name="_Toc3554"/>
      <w:bookmarkStart w:id="34" w:name="_Toc24241"/>
      <w:bookmarkStart w:id="35" w:name="_Toc17550"/>
      <w:r>
        <w:rPr>
          <w:rFonts w:hint="default" w:ascii="黑体" w:hAnsi="黑体" w:eastAsia="黑体" w:cs="黑体"/>
          <w:b w:val="0"/>
          <w:bCs/>
          <w:snapToGrid w:val="0"/>
          <w:color w:val="auto"/>
          <w:szCs w:val="32"/>
          <w:highlight w:val="none"/>
        </w:rPr>
        <w:t>第三节 战略定位</w:t>
      </w:r>
      <w:bookmarkEnd w:id="28"/>
      <w:bookmarkEnd w:id="29"/>
      <w:bookmarkEnd w:id="30"/>
      <w:bookmarkEnd w:id="31"/>
      <w:bookmarkEnd w:id="32"/>
    </w:p>
    <w:p>
      <w:pPr>
        <w:spacing w:line="560" w:lineRule="exact"/>
        <w:ind w:firstLine="643"/>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闽中绿色智造先行区。</w:t>
      </w:r>
      <w:r>
        <w:rPr>
          <w:rFonts w:hint="default" w:ascii="仿宋_GB2312" w:hAnsi="仿宋_GB2312" w:eastAsia="仿宋_GB2312" w:cs="仿宋_GB2312"/>
          <w:kern w:val="2"/>
          <w:sz w:val="32"/>
          <w:szCs w:val="32"/>
          <w:lang w:val="en-US" w:eastAsia="zh-CN" w:bidi="ar-SA"/>
        </w:rPr>
        <w:t>以智能制造为主攻方向，推动互联网、大数据、云计算、人工智能和实体经济深度融合。聚焦纺织、竹木等传统产业改造升级，壮大战略性新兴产业，前瞻布局未来产业，强化绿色技术创新和环保产业培育，构建高端化、数字化、绿色化深度融合发展的现代化产业体系，探索绿色转型与智能制造协同发展的闽中地区新经验。</w:t>
      </w:r>
    </w:p>
    <w:p>
      <w:pPr>
        <w:spacing w:line="560" w:lineRule="exact"/>
        <w:ind w:firstLine="643"/>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朱子文化传承创新区。</w:t>
      </w:r>
      <w:r>
        <w:rPr>
          <w:rFonts w:hint="default" w:ascii="仿宋_GB2312" w:hAnsi="仿宋_GB2312" w:eastAsia="仿宋_GB2312" w:cs="仿宋_GB2312"/>
          <w:kern w:val="2"/>
          <w:sz w:val="32"/>
          <w:szCs w:val="32"/>
          <w:lang w:val="en-US" w:eastAsia="zh-CN" w:bidi="ar-SA"/>
        </w:rPr>
        <w:t>以</w:t>
      </w:r>
      <w:r>
        <w:rPr>
          <w:rFonts w:hint="eastAsia" w:ascii="仿宋_GB2312" w:hAnsi="仿宋_GB2312" w:eastAsia="仿宋_GB2312" w:cs="仿宋_GB2312"/>
          <w:kern w:val="2"/>
          <w:sz w:val="32"/>
          <w:szCs w:val="32"/>
          <w:lang w:val="en-US" w:eastAsia="zh-CN" w:bidi="ar-SA"/>
        </w:rPr>
        <w:t>“朱子文化”</w:t>
      </w:r>
      <w:r>
        <w:rPr>
          <w:rFonts w:hint="default" w:ascii="仿宋_GB2312" w:hAnsi="仿宋_GB2312" w:eastAsia="仿宋_GB2312" w:cs="仿宋_GB2312"/>
          <w:kern w:val="2"/>
          <w:sz w:val="32"/>
          <w:szCs w:val="32"/>
          <w:lang w:val="en-US" w:eastAsia="zh-CN" w:bidi="ar-SA"/>
        </w:rPr>
        <w:t>为核心引领，推动“朱子故里、闽学源头”文化价值与产业发展深度融合。通过修缮古迹、申报非遗、整理学术成果等，维护朱子文化的系统性和完整性。依托专题编撰、学术研讨、“六进”活动等，推动文化传承和发展。创新朱子祭典、文艺创作、生态研学等载体，实现文化从静态展示向动态体验转变，打造</w:t>
      </w:r>
      <w:r>
        <w:rPr>
          <w:rFonts w:hint="eastAsia" w:ascii="仿宋_GB2312" w:hAnsi="仿宋_GB2312" w:eastAsia="仿宋_GB2312" w:cs="仿宋_GB2312"/>
          <w:kern w:val="2"/>
          <w:sz w:val="32"/>
          <w:szCs w:val="32"/>
          <w:lang w:val="en-US" w:eastAsia="zh-CN" w:bidi="ar-SA"/>
        </w:rPr>
        <w:t>“可感知、可互动、可消费”</w:t>
      </w:r>
      <w:r>
        <w:rPr>
          <w:rFonts w:hint="default" w:ascii="仿宋_GB2312" w:hAnsi="仿宋_GB2312" w:eastAsia="仿宋_GB2312" w:cs="仿宋_GB2312"/>
          <w:kern w:val="2"/>
          <w:sz w:val="32"/>
          <w:szCs w:val="32"/>
          <w:lang w:val="en-US" w:eastAsia="zh-CN" w:bidi="ar-SA"/>
        </w:rPr>
        <w:t>的文旅互动的文化传承创新样板。</w:t>
      </w:r>
    </w:p>
    <w:p>
      <w:pPr>
        <w:spacing w:line="560" w:lineRule="exact"/>
        <w:ind w:firstLine="643"/>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生态经济融合发展区。</w:t>
      </w:r>
      <w:r>
        <w:rPr>
          <w:rFonts w:hint="eastAsia" w:ascii="仿宋_GB2312" w:hAnsi="仿宋_GB2312" w:eastAsia="仿宋_GB2312" w:cs="仿宋_GB2312"/>
          <w:kern w:val="2"/>
          <w:sz w:val="32"/>
          <w:szCs w:val="32"/>
          <w:lang w:val="en-US" w:eastAsia="zh-CN" w:bidi="ar-SA"/>
        </w:rPr>
        <w:t>以“两山转化”为发展理念，推动县域经济形成“生态+”“+生态”的融合发展模式。依托森林、湖库资源，开发气候康养、自然教育等高端业态，打造“朱子故里·康养福地”品牌。大力发展生态农业、有机农业和林下经济，提升“熹宝尤礼”公共品牌的附加值。积极培育低碳循环产业，探索推进“无废城市”与绿美城乡建设，打造“生态+文化+产业”联动的休闲经济生态链。</w:t>
      </w:r>
    </w:p>
    <w:p>
      <w:pPr>
        <w:spacing w:line="560" w:lineRule="exact"/>
        <w:ind w:firstLine="643"/>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区域战略重要节点县。</w:t>
      </w:r>
      <w:r>
        <w:rPr>
          <w:rFonts w:hint="eastAsia" w:ascii="仿宋_GB2312" w:hAnsi="仿宋_GB2312" w:eastAsia="仿宋_GB2312" w:cs="仿宋_GB2312"/>
          <w:kern w:val="2"/>
          <w:sz w:val="32"/>
          <w:szCs w:val="32"/>
          <w:lang w:val="en-US" w:eastAsia="zh-CN" w:bidi="ar-SA"/>
        </w:rPr>
        <w:t>以闽中区位为节点优势，推动区域间的生态共建、环境共治、资源共享。主动融入对接闽东北协同发展区和福州都市圈建设，依托“三高一铁”和闽江航运优势，积极参与沿海、内陆、闽东北、闽西南的物流往来的物流港建设。主动对接长三角、粤港澳大湾区等经济发达地区，全方位深化沪明对口合作和山海协作，优化营商环境，提升社会治理能力和水平，承接产业转移，打造跨区域产业协作和生态保护的区域协作新模式。</w:t>
      </w:r>
    </w:p>
    <w:p>
      <w:pPr>
        <w:spacing w:line="560" w:lineRule="exact"/>
        <w:ind w:firstLine="643"/>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现代宜居宜业特色县。</w:t>
      </w:r>
      <w:r>
        <w:rPr>
          <w:rFonts w:hint="eastAsia" w:ascii="仿宋_GB2312" w:hAnsi="仿宋_GB2312" w:eastAsia="仿宋_GB2312" w:cs="仿宋_GB2312"/>
          <w:kern w:val="2"/>
          <w:sz w:val="32"/>
          <w:szCs w:val="32"/>
          <w:lang w:val="en-US" w:eastAsia="zh-CN" w:bidi="ar-SA"/>
        </w:rPr>
        <w:t>以城乡融合为节点特色，推动城市更新与乡村全面振兴。全力推进城乡基础设施一体化、基本公共服务均等化，持续将生态优势转化为民生福祉，打响区域旅游新名片，建设闽中特色的生态康养基地，促进生态保护、产业发展与民生改善有机统一，打造经济繁荣、环境优美、社会和谐、文化昌盛的现代化山区魅力之城。</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国家生态文明建设高地。</w:t>
      </w:r>
      <w:r>
        <w:rPr>
          <w:rFonts w:hint="eastAsia" w:ascii="仿宋_GB2312" w:hAnsi="仿宋_GB2312" w:eastAsia="仿宋_GB2312" w:cs="仿宋_GB2312"/>
          <w:kern w:val="2"/>
          <w:sz w:val="32"/>
          <w:szCs w:val="32"/>
          <w:lang w:val="en-US" w:eastAsia="zh-CN" w:bidi="ar-SA"/>
        </w:rPr>
        <w:t>以绿色发展为优先导向，推进降碳、减污、扩绿、绿色增长，筑牢生态安全屏障，增强绿色发展动能。坚定不移走生态优先、绿色发展之路，以碳达峰碳中和为牵引，统筹推进高质量发展和高水平保护，努力在生态环境质量提升、绿色低碳转型发展、生态产品价值实现、生态文明制度建设上走在全国前列，奋力打造国家生态文明建设高地。</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36" w:name="_Toc4206"/>
      <w:r>
        <w:rPr>
          <w:rFonts w:hint="default" w:ascii="黑体" w:hAnsi="黑体" w:eastAsia="黑体" w:cs="黑体"/>
          <w:b w:val="0"/>
          <w:bCs/>
          <w:snapToGrid w:val="0"/>
          <w:color w:val="auto"/>
          <w:szCs w:val="32"/>
          <w:highlight w:val="none"/>
        </w:rPr>
        <w:t>第四节 发展目标</w:t>
      </w:r>
      <w:bookmarkEnd w:id="33"/>
      <w:bookmarkEnd w:id="34"/>
      <w:bookmarkEnd w:id="35"/>
      <w:bookmarkEnd w:id="36"/>
    </w:p>
    <w:p>
      <w:pPr>
        <w:pStyle w:val="7"/>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kern w:val="2"/>
          <w:sz w:val="32"/>
          <w:szCs w:val="32"/>
          <w:lang w:val="en-US" w:eastAsia="zh-CN" w:bidi="ar-SA"/>
        </w:rPr>
        <w:t>锚定在中国式现代化建设中奋勇争先的新使命，</w:t>
      </w:r>
      <w:bookmarkStart w:id="37" w:name="OLE_LINK6"/>
      <w:r>
        <w:rPr>
          <w:rFonts w:hint="eastAsia" w:ascii="仿宋_GB2312" w:hAnsi="仿宋_GB2312" w:eastAsia="仿宋_GB2312" w:cs="仿宋_GB2312"/>
          <w:kern w:val="2"/>
          <w:sz w:val="32"/>
          <w:szCs w:val="32"/>
          <w:lang w:val="en-US" w:eastAsia="zh-CN" w:bidi="ar-SA"/>
        </w:rPr>
        <w:t>立足</w:t>
      </w:r>
      <w:bookmarkEnd w:id="37"/>
      <w:r>
        <w:rPr>
          <w:rFonts w:hint="eastAsia" w:ascii="仿宋_GB2312" w:hAnsi="仿宋_GB2312" w:eastAsia="仿宋_GB2312" w:cs="仿宋_GB2312"/>
          <w:kern w:val="2"/>
          <w:sz w:val="32"/>
          <w:szCs w:val="32"/>
          <w:lang w:val="en-US" w:eastAsia="zh-CN" w:bidi="ar-SA"/>
        </w:rPr>
        <w:t>尤溪发展基础实际，发挥文化、生态、产业等优势，抓住新时代革命老区振兴、沪明对口合作、山海协作等重大战略机遇，融入新发展格局和全国统一大市场，聚焦绿色化、数字化、融合化、高附加值，在科技自立自强、绿色转型、城乡融合、文化振兴等领域走在县域前列，高水平推进“五个现代化”建设，为基本实现社会主义现代化奠定扎实基础。</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方正仿宋_GB2312" w:hAnsi="方正仿宋_GB2312" w:eastAsia="方正仿宋_GB2312" w:cs="方正仿宋_GB2312"/>
          <w:snapToGrid w:val="0"/>
          <w:color w:val="auto"/>
          <w:szCs w:val="32"/>
          <w:highlight w:val="none"/>
          <w:lang w:val="en-US" w:eastAsia="zh-TW"/>
        </w:rPr>
      </w:pPr>
      <w:r>
        <w:rPr>
          <w:rFonts w:hint="eastAsia" w:ascii="楷体_GB2312" w:hAnsi="楷体_GB2312" w:eastAsia="楷体_GB2312" w:cs="楷体_GB2312"/>
          <w:b/>
          <w:bCs/>
          <w:kern w:val="2"/>
          <w:sz w:val="32"/>
          <w:szCs w:val="32"/>
          <w:lang w:val="en-US" w:eastAsia="zh-CN" w:bidi="ar-SA"/>
        </w:rPr>
        <w:t>聚焦科技自立自强，培育新质生产力。</w:t>
      </w:r>
      <w:r>
        <w:rPr>
          <w:rFonts w:hint="eastAsia" w:ascii="仿宋_GB2312" w:hAnsi="仿宋_GB2312" w:eastAsia="仿宋_GB2312" w:cs="仿宋_GB2312"/>
          <w:kern w:val="2"/>
          <w:sz w:val="32"/>
          <w:szCs w:val="32"/>
          <w:lang w:val="en-US" w:eastAsia="zh-TW" w:bidi="ar-SA"/>
        </w:rPr>
        <w:t>坚持新发展理念，</w:t>
      </w:r>
      <w:r>
        <w:rPr>
          <w:rFonts w:hint="eastAsia" w:ascii="仿宋_GB2312" w:hAnsi="仿宋_GB2312" w:eastAsia="仿宋_GB2312" w:cs="仿宋_GB2312"/>
          <w:kern w:val="2"/>
          <w:sz w:val="32"/>
          <w:szCs w:val="32"/>
          <w:lang w:val="en-US" w:eastAsia="zh-CN" w:bidi="ar-SA"/>
        </w:rPr>
        <w:t>以科技创新引领产业创新，聚焦纺织、矿产等工业产业技改升级，培育新能源、新材料、数字经济、低空经济及其衍生辐射产品等新兴产业，优化产业结构，提高产业竞争力。保持地区生产总值稳健增长，</w:t>
      </w:r>
      <w:r>
        <w:rPr>
          <w:rFonts w:hint="default" w:ascii="仿宋_GB2312" w:hAnsi="仿宋_GB2312" w:eastAsia="仿宋_GB2312" w:cs="仿宋_GB2312"/>
          <w:kern w:val="2"/>
          <w:sz w:val="32"/>
          <w:szCs w:val="32"/>
          <w:lang w:val="en-US" w:eastAsia="zh-CN" w:bidi="ar-SA"/>
        </w:rPr>
        <w:t>年均增速4.5%—5%，力争2030年地区生产总值突破350亿元，人均地区生产总值突破10.5万元，全要素生产率持续提升，全员劳动生产率年均增长5%以上。推动产业结构持续优化升级，第三产业增加值年均增长7</w:t>
      </w:r>
      <w:r>
        <w:rPr>
          <w:rFonts w:hint="default" w:ascii="仿宋_GB2312" w:hAnsi="仿宋_GB2312" w:eastAsia="仿宋_GB2312" w:cs="仿宋_GB2312"/>
          <w:kern w:val="2"/>
          <w:sz w:val="32"/>
          <w:szCs w:val="32"/>
          <w:lang w:val="en-US" w:eastAsia="zh-TW" w:bidi="ar-SA"/>
        </w:rPr>
        <w:t>%</w:t>
      </w:r>
      <w:r>
        <w:rPr>
          <w:rFonts w:hint="default" w:ascii="仿宋_GB2312" w:hAnsi="仿宋_GB2312" w:eastAsia="仿宋_GB2312" w:cs="仿宋_GB2312"/>
          <w:kern w:val="2"/>
          <w:sz w:val="32"/>
          <w:szCs w:val="32"/>
          <w:lang w:val="en-US" w:eastAsia="zh-CN" w:bidi="ar-SA"/>
        </w:rPr>
        <w:t>以上，促</w:t>
      </w:r>
      <w:r>
        <w:rPr>
          <w:rFonts w:hint="default" w:ascii="仿宋_GB2312" w:hAnsi="仿宋_GB2312" w:eastAsia="仿宋_GB2312" w:cs="仿宋_GB2312"/>
          <w:kern w:val="2"/>
          <w:sz w:val="32"/>
          <w:szCs w:val="32"/>
          <w:lang w:val="en-US" w:eastAsia="zh-TW" w:bidi="ar-SA"/>
        </w:rPr>
        <w:t>进生产性服务业向专业化和价值链延伸，生活性服务业向高品质和多样化升级。</w:t>
      </w:r>
    </w:p>
    <w:p>
      <w:pPr>
        <w:keepNext w:val="0"/>
        <w:keepLines w:val="0"/>
        <w:pageBreakBefore w:val="0"/>
        <w:widowControl/>
        <w:kinsoku/>
        <w:wordWrap/>
        <w:overflowPunct/>
        <w:topLinePunct w:val="0"/>
        <w:autoSpaceDE/>
        <w:autoSpaceDN/>
        <w:bidi w:val="0"/>
        <w:adjustRightInd/>
        <w:snapToGrid/>
        <w:spacing w:line="560" w:lineRule="exact"/>
        <w:ind w:firstLine="643"/>
        <w:jc w:val="both"/>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深耕生态文化优势，推进绿色转型。</w:t>
      </w:r>
      <w:r>
        <w:rPr>
          <w:rFonts w:hint="eastAsia" w:ascii="仿宋_GB2312" w:hAnsi="仿宋_GB2312" w:eastAsia="仿宋_GB2312" w:cs="仿宋_GB2312"/>
          <w:kern w:val="2"/>
          <w:sz w:val="32"/>
          <w:szCs w:val="32"/>
          <w:lang w:val="en-US" w:eastAsia="zh-CN" w:bidi="ar-SA"/>
        </w:rPr>
        <w:t>积极响应国家“双碳”战略，严格落实碳排放双控制度。将降低碳排放强度作为约束性指标，减少温室气体排放，助力实现“双碳”目标。推动县域内重点行业、企业实施节能减排降碳行动，促进经济社会发展全面绿色转型。着力从产业转型、改革赋能、生态筑基三个方面，全面推动三次产业绿色化改造。以打响“朱子故里”文化品牌为核心引擎，推动生态和文旅跨域融合，构建具有尤溪特色的现代文旅产业体系。</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聚焦民生福祉，完善保障服务体系。</w:t>
      </w:r>
      <w:r>
        <w:rPr>
          <w:rFonts w:hint="eastAsia" w:ascii="仿宋_GB2312" w:hAnsi="仿宋_GB2312" w:eastAsia="仿宋_GB2312" w:cs="仿宋_GB2312"/>
          <w:kern w:val="2"/>
          <w:sz w:val="32"/>
          <w:szCs w:val="32"/>
          <w:lang w:val="en-US" w:eastAsia="zh-CN" w:bidi="ar-SA"/>
        </w:rPr>
        <w:t>落实就业优先战略，构建全链条就业保障体系，确保城镇新增就业完成市级下达指标。稳步提升居民人均可支配收入，持续缩小城乡收入差距。强化教育投入，提升办学质量，推进义务教育优质均衡发展，义务教育巩固率保持</w:t>
      </w:r>
      <w:r>
        <w:rPr>
          <w:rFonts w:hint="default" w:ascii="仿宋_GB2312" w:hAnsi="仿宋_GB2312" w:eastAsia="仿宋_GB2312" w:cs="仿宋_GB2312"/>
          <w:kern w:val="2"/>
          <w:sz w:val="32"/>
          <w:szCs w:val="32"/>
          <w:lang w:val="en-US" w:eastAsia="zh-CN" w:bidi="ar-SA"/>
        </w:rPr>
        <w:t>100%以上，高中阶段教育毛入学率达100%。推进省级区域医疗中心建设，增强医疗卫生服务能力，人均预期寿命提高至81.60岁以上。健全社会保障体系，完善困难群体兜底帮扶机制，提升民生保障效能，维护社会和谐稳定。</w:t>
      </w:r>
    </w:p>
    <w:p>
      <w:pPr>
        <w:keepNext w:val="0"/>
        <w:keepLines w:val="0"/>
        <w:pageBreakBefore w:val="0"/>
        <w:widowControl w:val="0"/>
        <w:kinsoku/>
        <w:wordWrap/>
        <w:overflowPunct/>
        <w:topLinePunct w:val="0"/>
        <w:autoSpaceDE/>
        <w:autoSpaceDN/>
        <w:bidi w:val="0"/>
        <w:adjustRightInd/>
        <w:snapToGrid/>
        <w:spacing w:line="560" w:lineRule="exact"/>
        <w:ind w:firstLine="643"/>
        <w:jc w:val="both"/>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推进城乡融合，筑牢区域协同根基。</w:t>
      </w:r>
      <w:r>
        <w:rPr>
          <w:rFonts w:hint="default" w:ascii="仿宋_GB2312" w:hAnsi="仿宋_GB2312" w:eastAsia="仿宋_GB2312" w:cs="仿宋_GB2312"/>
          <w:kern w:val="2"/>
          <w:sz w:val="32"/>
          <w:szCs w:val="32"/>
          <w:lang w:val="en-US" w:eastAsia="zh-CN" w:bidi="ar-SA"/>
        </w:rPr>
        <w:t>统筹新型城镇化与乡村振兴，深化城乡融合发展。提速城市更新，提升城市能级，实现常住人口城镇化率63%以上。</w:t>
      </w:r>
      <w:r>
        <w:rPr>
          <w:rFonts w:hint="eastAsia" w:ascii="仿宋_GB2312" w:hAnsi="仿宋_GB2312" w:eastAsia="仿宋_GB2312" w:cs="仿宋_GB2312"/>
          <w:kern w:val="2"/>
          <w:sz w:val="32"/>
          <w:szCs w:val="32"/>
          <w:lang w:val="en-US" w:eastAsia="zh-CN" w:bidi="ar-SA"/>
        </w:rPr>
        <w:t>抓实城乡治污、集镇整治和老旧小区改造，优化城乡生态风貌；完善农村基础设施，提质人居环境，构建城乡供水“同质、同服务、同监管”体系</w:t>
      </w:r>
      <w:r>
        <w:rPr>
          <w:rFonts w:hint="default" w:ascii="仿宋_GB2312" w:hAnsi="仿宋_GB2312" w:eastAsia="仿宋_GB2312" w:cs="仿宋_GB2312"/>
          <w:kern w:val="2"/>
          <w:sz w:val="32"/>
          <w:szCs w:val="32"/>
          <w:lang w:val="en-US" w:eastAsia="zh-CN" w:bidi="ar-SA"/>
        </w:rPr>
        <w:t>，2030年农村自来水普及率实现100%，生活垃圾无害化处理率稳定100%。深化区域协同联动，主动融入周边发展格局，拓展发展空间。</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深化改革创新，筑牢安全发展屏障。</w:t>
      </w:r>
      <w:r>
        <w:rPr>
          <w:rFonts w:hint="eastAsia" w:ascii="仿宋_GB2312" w:hAnsi="仿宋_GB2312" w:eastAsia="仿宋_GB2312" w:cs="仿宋_GB2312"/>
          <w:kern w:val="2"/>
          <w:sz w:val="32"/>
          <w:szCs w:val="32"/>
          <w:lang w:val="en-US" w:eastAsia="zh-CN" w:bidi="ar-SA"/>
        </w:rPr>
        <w:t>纵深推进农村产权改革，健全县乡村三级服务体系。优化营商环境，推行农村小微工程反向竞价，推动政务服务“一网通办”应上尽上，实现实际利用外资稳步</w:t>
      </w:r>
      <w:r>
        <w:rPr>
          <w:rFonts w:hint="default" w:ascii="仿宋_GB2312" w:hAnsi="仿宋_GB2312" w:eastAsia="仿宋_GB2312" w:cs="仿宋_GB2312"/>
          <w:kern w:val="2"/>
          <w:sz w:val="32"/>
          <w:szCs w:val="32"/>
          <w:lang w:val="en-US" w:eastAsia="zh-CN" w:bidi="ar-SA"/>
        </w:rPr>
        <w:t>增长。夯实粮食安全根基，严守</w:t>
      </w:r>
      <w:r>
        <w:rPr>
          <w:rFonts w:hint="default" w:ascii="仿宋_GB2312" w:hAnsi="仿宋_GB2312" w:eastAsia="仿宋_GB2312" w:cs="仿宋_GB2312"/>
          <w:kern w:val="2"/>
          <w:sz w:val="32"/>
          <w:szCs w:val="32"/>
          <w:lang w:val="en-US" w:eastAsia="zh-TW" w:bidi="ar-SA"/>
        </w:rPr>
        <w:t>208.89平方公里永久基本农田</w:t>
      </w:r>
      <w:r>
        <w:rPr>
          <w:rFonts w:hint="default" w:ascii="仿宋_GB2312" w:hAnsi="仿宋_GB2312" w:eastAsia="仿宋_GB2312" w:cs="仿宋_GB2312"/>
          <w:kern w:val="2"/>
          <w:sz w:val="32"/>
          <w:szCs w:val="32"/>
          <w:lang w:val="en-US" w:eastAsia="zh-CN" w:bidi="ar-SA"/>
        </w:rPr>
        <w:t>，建成抽水蓄能电站等重点设施。完善防汛抗旱应急体系，健全矛盾纠纷化解机制，常态化推进扫黑除恶，持续保持公众安全感、满意度98%以上，建设更高水平平安尤溪。</w:t>
      </w:r>
    </w:p>
    <w:p>
      <w:pPr>
        <w:rPr>
          <w:rFonts w:hint="eastAsia" w:ascii="楷体_GB2312" w:hAnsi="楷体_GB2312" w:eastAsia="楷体_GB2312" w:cs="楷体_GB2312"/>
          <w:b/>
          <w:bCs/>
          <w:sz w:val="32"/>
          <w:szCs w:val="32"/>
        </w:rPr>
      </w:pPr>
      <w:bookmarkStart w:id="38" w:name="_Toc19226"/>
      <w:bookmarkStart w:id="39" w:name="_Toc16305"/>
      <w:r>
        <w:rPr>
          <w:rFonts w:hint="eastAsia" w:ascii="楷体_GB2312" w:hAnsi="楷体_GB2312" w:eastAsia="楷体_GB2312" w:cs="楷体_GB2312"/>
          <w:b/>
          <w:bCs/>
          <w:sz w:val="32"/>
          <w:szCs w:val="32"/>
        </w:rPr>
        <w:br w:type="page"/>
      </w:r>
    </w:p>
    <w:p>
      <w:pPr>
        <w:overflowPunct w:val="0"/>
        <w:adjustRightInd w:val="0"/>
        <w:snapToGrid w:val="0"/>
        <w:spacing w:line="560" w:lineRule="exact"/>
        <w:ind w:firstLine="643"/>
        <w:jc w:val="both"/>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专栏1：“十五五”时期尤溪县经济社会发展指标</w:t>
      </w:r>
      <w:bookmarkEnd w:id="38"/>
      <w:bookmarkEnd w:id="39"/>
    </w:p>
    <w:tbl>
      <w:tblPr>
        <w:tblStyle w:val="18"/>
        <w:tblW w:w="4997" w:type="pct"/>
        <w:jc w:val="center"/>
        <w:tblLayout w:type="autofit"/>
        <w:tblCellMar>
          <w:top w:w="0" w:type="dxa"/>
          <w:left w:w="108" w:type="dxa"/>
          <w:bottom w:w="0" w:type="dxa"/>
          <w:right w:w="108" w:type="dxa"/>
        </w:tblCellMar>
      </w:tblPr>
      <w:tblGrid>
        <w:gridCol w:w="1049"/>
        <w:gridCol w:w="444"/>
        <w:gridCol w:w="1426"/>
        <w:gridCol w:w="1268"/>
        <w:gridCol w:w="1107"/>
        <w:gridCol w:w="841"/>
        <w:gridCol w:w="988"/>
        <w:gridCol w:w="1042"/>
        <w:gridCol w:w="890"/>
      </w:tblGrid>
      <w:tr>
        <w:tblPrEx>
          <w:tblCellMar>
            <w:top w:w="0" w:type="dxa"/>
            <w:left w:w="108" w:type="dxa"/>
            <w:bottom w:w="0" w:type="dxa"/>
            <w:right w:w="108" w:type="dxa"/>
          </w:tblCellMar>
        </w:tblPrEx>
        <w:trPr>
          <w:trHeight w:val="680" w:hRule="atLeast"/>
          <w:tblHeader/>
          <w:jc w:val="center"/>
        </w:trPr>
        <w:tc>
          <w:tcPr>
            <w:tcW w:w="579" w:type="pct"/>
            <w:tcBorders>
              <w:top w:val="single" w:color="000000" w:sz="4" w:space="0"/>
              <w:left w:val="single" w:color="000000" w:sz="4" w:space="0"/>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分类</w:t>
            </w:r>
          </w:p>
        </w:tc>
        <w:tc>
          <w:tcPr>
            <w:tcW w:w="245" w:type="pct"/>
            <w:tcBorders>
              <w:top w:val="single" w:color="000000" w:sz="4" w:space="0"/>
              <w:left w:val="nil"/>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序号</w:t>
            </w:r>
          </w:p>
        </w:tc>
        <w:tc>
          <w:tcPr>
            <w:tcW w:w="1487" w:type="pct"/>
            <w:gridSpan w:val="2"/>
            <w:tcBorders>
              <w:top w:val="single" w:color="000000" w:sz="4" w:space="0"/>
              <w:left w:val="nil"/>
              <w:bottom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指标名称</w:t>
            </w:r>
          </w:p>
        </w:tc>
        <w:tc>
          <w:tcPr>
            <w:tcW w:w="611" w:type="pct"/>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单位</w:t>
            </w:r>
          </w:p>
        </w:tc>
        <w:tc>
          <w:tcPr>
            <w:tcW w:w="464" w:type="pct"/>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2025年</w:t>
            </w:r>
          </w:p>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实现</w:t>
            </w:r>
          </w:p>
        </w:tc>
        <w:tc>
          <w:tcPr>
            <w:tcW w:w="545" w:type="pct"/>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2030年</w:t>
            </w:r>
          </w:p>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目标</w:t>
            </w:r>
          </w:p>
        </w:tc>
        <w:tc>
          <w:tcPr>
            <w:tcW w:w="575" w:type="pct"/>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年均增长[累计]%</w:t>
            </w:r>
          </w:p>
        </w:tc>
        <w:tc>
          <w:tcPr>
            <w:tcW w:w="491" w:type="pct"/>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属性</w:t>
            </w:r>
          </w:p>
        </w:tc>
      </w:tr>
      <w:tr>
        <w:tblPrEx>
          <w:tblCellMar>
            <w:top w:w="0" w:type="dxa"/>
            <w:left w:w="108" w:type="dxa"/>
            <w:bottom w:w="0" w:type="dxa"/>
            <w:right w:w="108" w:type="dxa"/>
          </w:tblCellMar>
        </w:tblPrEx>
        <w:trPr>
          <w:trHeight w:val="414" w:hRule="exact"/>
          <w:tblHeader/>
          <w:jc w:val="center"/>
        </w:trPr>
        <w:tc>
          <w:tcPr>
            <w:tcW w:w="579" w:type="pct"/>
            <w:vMerge w:val="restart"/>
            <w:tcBorders>
              <w:top w:val="single" w:color="auto" w:sz="4" w:space="0"/>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经济发展</w:t>
            </w:r>
          </w:p>
        </w:tc>
        <w:tc>
          <w:tcPr>
            <w:tcW w:w="245" w:type="pct"/>
            <w:tcBorders>
              <w:top w:val="single" w:color="auto"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w:t>
            </w:r>
          </w:p>
        </w:tc>
        <w:tc>
          <w:tcPr>
            <w:tcW w:w="1487" w:type="pct"/>
            <w:gridSpan w:val="2"/>
            <w:tcBorders>
              <w:top w:val="single" w:color="auto" w:sz="4" w:space="0"/>
              <w:left w:val="nil"/>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地区生产总值增长率</w:t>
            </w:r>
          </w:p>
        </w:tc>
        <w:tc>
          <w:tcPr>
            <w:tcW w:w="611" w:type="pct"/>
            <w:tcBorders>
              <w:top w:val="nil"/>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-5.7</w:t>
            </w:r>
          </w:p>
        </w:tc>
        <w:tc>
          <w:tcPr>
            <w:tcW w:w="545"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575"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4.5-5</w:t>
            </w:r>
          </w:p>
        </w:tc>
        <w:tc>
          <w:tcPr>
            <w:tcW w:w="491"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2</w:t>
            </w:r>
          </w:p>
        </w:tc>
        <w:tc>
          <w:tcPr>
            <w:tcW w:w="1487" w:type="pct"/>
            <w:gridSpan w:val="2"/>
            <w:tcBorders>
              <w:top w:val="nil"/>
              <w:left w:val="nil"/>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人均地区生产总值增长率</w:t>
            </w:r>
          </w:p>
        </w:tc>
        <w:tc>
          <w:tcPr>
            <w:tcW w:w="611" w:type="pct"/>
            <w:tcBorders>
              <w:top w:val="nil"/>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-4.8</w:t>
            </w:r>
          </w:p>
        </w:tc>
        <w:tc>
          <w:tcPr>
            <w:tcW w:w="1120" w:type="pct"/>
            <w:gridSpan w:val="2"/>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4.5-5</w:t>
            </w:r>
          </w:p>
        </w:tc>
        <w:tc>
          <w:tcPr>
            <w:tcW w:w="491"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3</w:t>
            </w:r>
          </w:p>
        </w:tc>
        <w:tc>
          <w:tcPr>
            <w:tcW w:w="1487" w:type="pct"/>
            <w:gridSpan w:val="2"/>
            <w:tcBorders>
              <w:top w:val="nil"/>
              <w:left w:val="nil"/>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全员劳动生产率</w:t>
            </w:r>
          </w:p>
        </w:tc>
        <w:tc>
          <w:tcPr>
            <w:tcW w:w="611" w:type="pct"/>
            <w:tcBorders>
              <w:top w:val="nil"/>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17.3</w:t>
            </w:r>
          </w:p>
        </w:tc>
        <w:tc>
          <w:tcPr>
            <w:tcW w:w="1120" w:type="pct"/>
            <w:gridSpan w:val="2"/>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19.4</w:t>
            </w:r>
          </w:p>
        </w:tc>
        <w:tc>
          <w:tcPr>
            <w:tcW w:w="491"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4</w:t>
            </w:r>
          </w:p>
        </w:tc>
        <w:tc>
          <w:tcPr>
            <w:tcW w:w="1487" w:type="pct"/>
            <w:gridSpan w:val="2"/>
            <w:tcBorders>
              <w:top w:val="nil"/>
              <w:left w:val="nil"/>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服务业增加值增长率</w:t>
            </w:r>
          </w:p>
        </w:tc>
        <w:tc>
          <w:tcPr>
            <w:tcW w:w="611" w:type="pct"/>
            <w:tcBorders>
              <w:top w:val="nil"/>
              <w:left w:val="single"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2.8</w:t>
            </w:r>
          </w:p>
        </w:tc>
        <w:tc>
          <w:tcPr>
            <w:tcW w:w="1120" w:type="pct"/>
            <w:gridSpan w:val="2"/>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&gt;7</w:t>
            </w:r>
          </w:p>
        </w:tc>
        <w:tc>
          <w:tcPr>
            <w:tcW w:w="491"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5</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常住人口城镇化率</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55.41</w:t>
            </w:r>
          </w:p>
        </w:tc>
        <w:tc>
          <w:tcPr>
            <w:tcW w:w="5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63</w:t>
            </w:r>
          </w:p>
        </w:tc>
        <w:tc>
          <w:tcPr>
            <w:tcW w:w="57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[9]</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6</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城镇新增就业人数</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万人</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完成市下达指标</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约束性</w:t>
            </w:r>
          </w:p>
        </w:tc>
      </w:tr>
      <w:tr>
        <w:tblPrEx>
          <w:tblCellMar>
            <w:top w:w="0" w:type="dxa"/>
            <w:left w:w="108" w:type="dxa"/>
            <w:bottom w:w="0" w:type="dxa"/>
            <w:right w:w="108" w:type="dxa"/>
          </w:tblCellMar>
        </w:tblPrEx>
        <w:trPr>
          <w:trHeight w:val="414" w:hRule="exact"/>
          <w:tblHeader/>
          <w:jc w:val="center"/>
        </w:trPr>
        <w:tc>
          <w:tcPr>
            <w:tcW w:w="579"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创新驱动</w:t>
            </w: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7</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全社会研发经费投入增长</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5</w:t>
            </w: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5</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8</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每万人口有效发明专利拥有量</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件</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3</w:t>
            </w:r>
          </w:p>
        </w:tc>
        <w:tc>
          <w:tcPr>
            <w:tcW w:w="5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5</w:t>
            </w:r>
          </w:p>
        </w:tc>
        <w:tc>
          <w:tcPr>
            <w:tcW w:w="57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9</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数字经济规模占GDP比重</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新增</w:t>
            </w: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3</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10</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工业战略性新兴产业增加值占规上工业增加值比重</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21.1</w:t>
            </w: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23</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民生福祉</w:t>
            </w: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11</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居民人均可支配收入增长</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4.1</w:t>
            </w: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&gt;5</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atLeast"/>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12</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劳动年龄人口平均受教育年限</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年</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14.5</w:t>
            </w:r>
          </w:p>
        </w:tc>
        <w:tc>
          <w:tcPr>
            <w:tcW w:w="5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16</w:t>
            </w:r>
          </w:p>
        </w:tc>
        <w:tc>
          <w:tcPr>
            <w:tcW w:w="57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atLeast"/>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eastAsia="zh-CN"/>
              </w:rPr>
            </w:pPr>
            <w:r>
              <w:rPr>
                <w:rFonts w:hint="eastAsia" w:ascii="宋体" w:hAnsi="宋体" w:eastAsia="宋体" w:cs="宋体"/>
                <w:b w:val="0"/>
                <w:bCs w:val="0"/>
                <w:color w:val="auto"/>
                <w:kern w:val="0"/>
                <w:sz w:val="18"/>
                <w:szCs w:val="18"/>
                <w:highlight w:val="none"/>
              </w:rPr>
              <w:t>1</w:t>
            </w:r>
            <w:r>
              <w:rPr>
                <w:rFonts w:hint="eastAsia" w:ascii="宋体" w:hAnsi="宋体" w:eastAsia="宋体" w:cs="宋体"/>
                <w:b w:val="0"/>
                <w:bCs w:val="0"/>
                <w:color w:val="auto"/>
                <w:kern w:val="0"/>
                <w:sz w:val="18"/>
                <w:szCs w:val="18"/>
                <w:highlight w:val="none"/>
                <w:lang w:val="en-US" w:eastAsia="zh-CN"/>
              </w:rPr>
              <w:t>3</w:t>
            </w:r>
          </w:p>
        </w:tc>
        <w:tc>
          <w:tcPr>
            <w:tcW w:w="787" w:type="pct"/>
            <w:vMerge w:val="restart"/>
            <w:tcBorders>
              <w:top w:val="single" w:color="auto" w:sz="4" w:space="0"/>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rPr>
              <w:t>每千人</w:t>
            </w:r>
            <w:r>
              <w:rPr>
                <w:rFonts w:hint="eastAsia" w:ascii="宋体" w:hAnsi="宋体" w:eastAsia="宋体" w:cs="宋体"/>
                <w:b w:val="0"/>
                <w:bCs w:val="0"/>
                <w:color w:val="auto"/>
                <w:kern w:val="0"/>
                <w:sz w:val="18"/>
                <w:szCs w:val="18"/>
                <w:highlight w:val="none"/>
                <w:lang w:val="en-US" w:eastAsia="zh-CN"/>
              </w:rPr>
              <w:t>拥有医护人员数</w:t>
            </w:r>
          </w:p>
        </w:tc>
        <w:tc>
          <w:tcPr>
            <w:tcW w:w="7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执业医师数</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人</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2.92</w:t>
            </w:r>
          </w:p>
        </w:tc>
        <w:tc>
          <w:tcPr>
            <w:tcW w:w="5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3.1</w:t>
            </w:r>
          </w:p>
        </w:tc>
        <w:tc>
          <w:tcPr>
            <w:tcW w:w="57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b w:val="0"/>
                <w:bCs w:val="0"/>
                <w:color w:val="auto"/>
                <w:kern w:val="0"/>
                <w:sz w:val="18"/>
                <w:szCs w:val="18"/>
                <w:highlight w:val="none"/>
              </w:rPr>
              <w:t>预期性</w:t>
            </w:r>
          </w:p>
        </w:tc>
      </w:tr>
      <w:tr>
        <w:tblPrEx>
          <w:tblCellMar>
            <w:top w:w="0" w:type="dxa"/>
            <w:left w:w="108" w:type="dxa"/>
            <w:bottom w:w="0" w:type="dxa"/>
            <w:right w:w="108" w:type="dxa"/>
          </w:tblCellMar>
        </w:tblPrEx>
        <w:trPr>
          <w:trHeight w:val="414" w:hRule="atLeast"/>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lang w:val="en-US" w:eastAsia="zh-CN"/>
              </w:rPr>
              <w:t>14</w:t>
            </w:r>
          </w:p>
        </w:tc>
        <w:tc>
          <w:tcPr>
            <w:tcW w:w="787" w:type="pct"/>
            <w:vMerge w:val="continue"/>
            <w:tcBorders>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textAlignment w:val="auto"/>
              <w:rPr>
                <w:rFonts w:hint="eastAsia" w:ascii="宋体" w:hAnsi="宋体" w:eastAsia="宋体" w:cs="宋体"/>
                <w:b w:val="0"/>
                <w:bCs w:val="0"/>
                <w:color w:val="auto"/>
                <w:kern w:val="0"/>
                <w:sz w:val="18"/>
                <w:szCs w:val="18"/>
                <w:highlight w:val="none"/>
              </w:rPr>
            </w:pPr>
          </w:p>
        </w:tc>
        <w:tc>
          <w:tcPr>
            <w:tcW w:w="7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注册护士数</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人</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3.64</w:t>
            </w:r>
          </w:p>
        </w:tc>
        <w:tc>
          <w:tcPr>
            <w:tcW w:w="5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4</w:t>
            </w:r>
          </w:p>
        </w:tc>
        <w:tc>
          <w:tcPr>
            <w:tcW w:w="57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b w:val="0"/>
                <w:bCs w:val="0"/>
                <w:color w:val="auto"/>
                <w:kern w:val="0"/>
                <w:sz w:val="18"/>
                <w:szCs w:val="18"/>
                <w:highlight w:val="none"/>
                <w:lang w:val="en-US"/>
              </w:rPr>
            </w:pPr>
            <w:r>
              <w:rPr>
                <w:rFonts w:hint="eastAsia" w:ascii="宋体" w:hAnsi="宋体" w:eastAsia="宋体" w:cs="宋体"/>
                <w:b w:val="0"/>
                <w:bCs w:val="0"/>
                <w:color w:val="auto"/>
                <w:kern w:val="0"/>
                <w:sz w:val="18"/>
                <w:szCs w:val="18"/>
                <w:highlight w:val="none"/>
                <w:lang w:val="en-US" w:eastAsia="zh-CN"/>
              </w:rPr>
              <w:t>--</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right="0" w:rightChars="0"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eastAsia="zh-CN"/>
              </w:rPr>
            </w:pPr>
            <w:r>
              <w:rPr>
                <w:rFonts w:hint="eastAsia" w:ascii="宋体" w:hAnsi="宋体" w:eastAsia="宋体" w:cs="宋体"/>
                <w:b w:val="0"/>
                <w:bCs w:val="0"/>
                <w:color w:val="auto"/>
                <w:kern w:val="0"/>
                <w:sz w:val="18"/>
                <w:szCs w:val="18"/>
                <w:highlight w:val="none"/>
              </w:rPr>
              <w:t>1</w:t>
            </w:r>
            <w:r>
              <w:rPr>
                <w:rFonts w:hint="eastAsia" w:ascii="宋体" w:hAnsi="宋体" w:eastAsia="宋体" w:cs="宋体"/>
                <w:b w:val="0"/>
                <w:bCs w:val="0"/>
                <w:color w:val="auto"/>
                <w:kern w:val="0"/>
                <w:sz w:val="18"/>
                <w:szCs w:val="18"/>
                <w:highlight w:val="none"/>
                <w:lang w:val="en-US" w:eastAsia="zh-CN"/>
              </w:rPr>
              <w:t>5</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left="0" w:leftChars="0" w:firstLine="0" w:firstLineChars="0"/>
              <w:jc w:val="both"/>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lang w:val="en-US" w:eastAsia="zh-CN"/>
              </w:rPr>
              <w:t>3</w:t>
            </w:r>
            <w:r>
              <w:rPr>
                <w:rFonts w:hint="eastAsia" w:ascii="宋体" w:hAnsi="宋体" w:eastAsia="宋体" w:cs="宋体"/>
                <w:b w:val="0"/>
                <w:bCs w:val="0"/>
                <w:color w:val="auto"/>
                <w:kern w:val="0"/>
                <w:sz w:val="18"/>
                <w:szCs w:val="18"/>
                <w:highlight w:val="none"/>
              </w:rPr>
              <w:t>岁</w:t>
            </w:r>
            <w:r>
              <w:rPr>
                <w:rFonts w:hint="eastAsia" w:ascii="宋体" w:hAnsi="宋体" w:eastAsia="宋体" w:cs="宋体"/>
                <w:b w:val="0"/>
                <w:bCs w:val="0"/>
                <w:color w:val="auto"/>
                <w:kern w:val="0"/>
                <w:sz w:val="18"/>
                <w:szCs w:val="18"/>
                <w:highlight w:val="none"/>
                <w:lang w:val="en-US" w:eastAsia="zh-CN"/>
              </w:rPr>
              <w:t>以下</w:t>
            </w:r>
            <w:r>
              <w:rPr>
                <w:rFonts w:hint="eastAsia" w:ascii="宋体" w:hAnsi="宋体" w:eastAsia="宋体" w:cs="宋体"/>
                <w:b w:val="0"/>
                <w:bCs w:val="0"/>
                <w:color w:val="auto"/>
                <w:kern w:val="0"/>
                <w:sz w:val="18"/>
                <w:szCs w:val="18"/>
                <w:highlight w:val="none"/>
              </w:rPr>
              <w:t>婴幼儿入托率</w:t>
            </w:r>
            <w:r>
              <w:rPr>
                <w:rFonts w:hint="eastAsia" w:ascii="宋体" w:hAnsi="宋体" w:eastAsia="宋体" w:cs="宋体"/>
                <w:b w:val="0"/>
                <w:bCs w:val="0"/>
                <w:color w:val="auto"/>
                <w:kern w:val="0"/>
                <w:sz w:val="18"/>
                <w:szCs w:val="18"/>
                <w:highlight w:val="none"/>
                <w:lang w:val="en-US" w:eastAsia="zh-CN"/>
              </w:rPr>
              <w:t>提高</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eastAsia="zh-CN"/>
              </w:rPr>
            </w:pPr>
            <w:r>
              <w:rPr>
                <w:rFonts w:hint="eastAsia" w:ascii="宋体" w:hAnsi="宋体" w:eastAsia="宋体" w:cs="宋体"/>
                <w:b w:val="0"/>
                <w:bCs w:val="0"/>
                <w:color w:val="auto"/>
                <w:kern w:val="0"/>
                <w:sz w:val="18"/>
                <w:szCs w:val="18"/>
                <w:highlight w:val="none"/>
                <w:lang w:val="en-US" w:eastAsia="zh-CN"/>
              </w:rPr>
              <w:t>百分点</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lang w:val="en-US" w:eastAsia="zh-CN"/>
              </w:rPr>
              <w:t>--</w:t>
            </w:r>
          </w:p>
        </w:tc>
        <w:tc>
          <w:tcPr>
            <w:tcW w:w="5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6</w:t>
            </w:r>
          </w:p>
        </w:tc>
        <w:tc>
          <w:tcPr>
            <w:tcW w:w="57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lang w:val="en-US" w:eastAsia="zh-CN"/>
              </w:rPr>
              <w:t>[</w:t>
            </w:r>
            <w:r>
              <w:rPr>
                <w:rFonts w:hint="eastAsia" w:ascii="宋体" w:hAnsi="宋体" w:eastAsia="宋体" w:cs="宋体"/>
                <w:b w:val="0"/>
                <w:bCs w:val="0"/>
                <w:color w:val="auto"/>
                <w:kern w:val="0"/>
                <w:sz w:val="18"/>
                <w:szCs w:val="18"/>
                <w:highlight w:val="none"/>
              </w:rPr>
              <w:t>1.2</w:t>
            </w:r>
            <w:r>
              <w:rPr>
                <w:rFonts w:hint="eastAsia" w:ascii="宋体" w:hAnsi="宋体" w:eastAsia="宋体" w:cs="宋体"/>
                <w:b w:val="0"/>
                <w:bCs w:val="0"/>
                <w:color w:val="auto"/>
                <w:kern w:val="0"/>
                <w:sz w:val="18"/>
                <w:szCs w:val="18"/>
                <w:highlight w:val="none"/>
                <w:lang w:val="en-US" w:eastAsia="zh-CN"/>
              </w:rPr>
              <w:t>]</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rPr>
              <w:t>1</w:t>
            </w:r>
            <w:r>
              <w:rPr>
                <w:rFonts w:hint="eastAsia" w:ascii="宋体" w:hAnsi="宋体" w:eastAsia="宋体" w:cs="宋体"/>
                <w:b w:val="0"/>
                <w:bCs w:val="0"/>
                <w:color w:val="auto"/>
                <w:kern w:val="0"/>
                <w:sz w:val="18"/>
                <w:szCs w:val="18"/>
                <w:highlight w:val="none"/>
                <w:lang w:val="en-US" w:eastAsia="zh-CN"/>
              </w:rPr>
              <w:t>6</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人均期望寿命</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岁</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81.14</w:t>
            </w:r>
          </w:p>
        </w:tc>
        <w:tc>
          <w:tcPr>
            <w:tcW w:w="5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81.60</w:t>
            </w:r>
          </w:p>
        </w:tc>
        <w:tc>
          <w:tcPr>
            <w:tcW w:w="57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lang w:val="en-US" w:eastAsia="zh-CN"/>
              </w:rPr>
              <w:t>17</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养老机构护理型床位占比</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65</w:t>
            </w: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&gt;80</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exact"/>
          <w:tblHeader/>
          <w:jc w:val="center"/>
        </w:trPr>
        <w:tc>
          <w:tcPr>
            <w:tcW w:w="579"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绿色发展</w:t>
            </w: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rPr>
              <w:t>1</w:t>
            </w:r>
            <w:r>
              <w:rPr>
                <w:rFonts w:hint="eastAsia" w:ascii="宋体" w:hAnsi="宋体" w:eastAsia="宋体" w:cs="宋体"/>
                <w:b w:val="0"/>
                <w:bCs w:val="0"/>
                <w:color w:val="auto"/>
                <w:kern w:val="0"/>
                <w:sz w:val="18"/>
                <w:szCs w:val="18"/>
                <w:highlight w:val="none"/>
                <w:lang w:val="en-US" w:eastAsia="zh-CN"/>
              </w:rPr>
              <w:t>8</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森林覆盖率</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78.25</w:t>
            </w: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78.5</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预期性</w:t>
            </w:r>
          </w:p>
        </w:tc>
      </w:tr>
      <w:tr>
        <w:tblPrEx>
          <w:tblCellMar>
            <w:top w:w="0" w:type="dxa"/>
            <w:left w:w="108" w:type="dxa"/>
            <w:bottom w:w="0" w:type="dxa"/>
            <w:right w:w="108" w:type="dxa"/>
          </w:tblCellMar>
        </w:tblPrEx>
        <w:trPr>
          <w:trHeight w:val="414" w:hRule="atLeast"/>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rPr>
              <w:t>1</w:t>
            </w:r>
            <w:r>
              <w:rPr>
                <w:rFonts w:hint="eastAsia" w:ascii="宋体" w:hAnsi="宋体" w:eastAsia="宋体" w:cs="宋体"/>
                <w:b w:val="0"/>
                <w:bCs w:val="0"/>
                <w:color w:val="auto"/>
                <w:kern w:val="0"/>
                <w:sz w:val="18"/>
                <w:szCs w:val="18"/>
                <w:highlight w:val="none"/>
                <w:lang w:val="en-US" w:eastAsia="zh-CN"/>
              </w:rPr>
              <w:t>9</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优良水体比例</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100</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约束性</w:t>
            </w:r>
          </w:p>
        </w:tc>
      </w:tr>
      <w:tr>
        <w:tblPrEx>
          <w:tblCellMar>
            <w:top w:w="0" w:type="dxa"/>
            <w:left w:w="108" w:type="dxa"/>
            <w:bottom w:w="0" w:type="dxa"/>
            <w:right w:w="108" w:type="dxa"/>
          </w:tblCellMar>
        </w:tblPrEx>
        <w:trPr>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lang w:val="en-US" w:eastAsia="zh-CN"/>
              </w:rPr>
              <w:t>20</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bidi="ar"/>
              </w:rPr>
              <w:t>单位地区生产总值</w:t>
            </w:r>
            <w:r>
              <w:rPr>
                <w:rFonts w:hint="eastAsia" w:ascii="宋体" w:hAnsi="宋体" w:eastAsia="宋体" w:cs="宋体"/>
                <w:b w:val="0"/>
                <w:bCs w:val="0"/>
                <w:color w:val="auto"/>
                <w:kern w:val="0"/>
                <w:sz w:val="18"/>
                <w:szCs w:val="18"/>
                <w:highlight w:val="none"/>
              </w:rPr>
              <w:t>二氧化碳</w:t>
            </w:r>
          </w:p>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排放降低</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完成市下达水平</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约束性</w:t>
            </w:r>
          </w:p>
        </w:tc>
      </w:tr>
      <w:tr>
        <w:tblPrEx>
          <w:tblCellMar>
            <w:top w:w="0" w:type="dxa"/>
            <w:left w:w="108" w:type="dxa"/>
            <w:bottom w:w="0" w:type="dxa"/>
            <w:right w:w="108" w:type="dxa"/>
          </w:tblCellMar>
        </w:tblPrEx>
        <w:trPr>
          <w:tblHeader/>
          <w:jc w:val="center"/>
        </w:trPr>
        <w:tc>
          <w:tcPr>
            <w:tcW w:w="579"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rPr>
              <w:t>2</w:t>
            </w:r>
            <w:r>
              <w:rPr>
                <w:rFonts w:hint="eastAsia" w:ascii="宋体" w:hAnsi="宋体" w:eastAsia="宋体" w:cs="宋体"/>
                <w:b w:val="0"/>
                <w:bCs w:val="0"/>
                <w:color w:val="auto"/>
                <w:kern w:val="0"/>
                <w:sz w:val="18"/>
                <w:szCs w:val="18"/>
                <w:highlight w:val="none"/>
                <w:lang w:val="en-US" w:eastAsia="zh-CN"/>
              </w:rPr>
              <w:t>1</w:t>
            </w:r>
          </w:p>
        </w:tc>
        <w:tc>
          <w:tcPr>
            <w:tcW w:w="1487"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非化石能源占能源消费总量</w:t>
            </w:r>
          </w:p>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比重</w:t>
            </w:r>
          </w:p>
        </w:tc>
        <w:tc>
          <w:tcPr>
            <w:tcW w:w="61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1120" w:type="pct"/>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完成市下达指标</w:t>
            </w:r>
          </w:p>
        </w:tc>
        <w:tc>
          <w:tcPr>
            <w:tcW w:w="4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约束性</w:t>
            </w:r>
          </w:p>
        </w:tc>
      </w:tr>
      <w:tr>
        <w:tblPrEx>
          <w:tblCellMar>
            <w:top w:w="0" w:type="dxa"/>
            <w:left w:w="108" w:type="dxa"/>
            <w:bottom w:w="0" w:type="dxa"/>
            <w:right w:w="108" w:type="dxa"/>
          </w:tblCellMar>
        </w:tblPrEx>
        <w:trPr>
          <w:tblHeader/>
          <w:jc w:val="center"/>
        </w:trPr>
        <w:tc>
          <w:tcPr>
            <w:tcW w:w="579" w:type="pct"/>
            <w:vMerge w:val="continue"/>
            <w:tcBorders>
              <w:left w:val="single" w:color="auto"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p>
        </w:tc>
        <w:tc>
          <w:tcPr>
            <w:tcW w:w="245"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rPr>
              <w:t>2</w:t>
            </w:r>
            <w:r>
              <w:rPr>
                <w:rFonts w:hint="eastAsia" w:ascii="宋体" w:hAnsi="宋体" w:eastAsia="宋体" w:cs="宋体"/>
                <w:b w:val="0"/>
                <w:bCs w:val="0"/>
                <w:color w:val="auto"/>
                <w:kern w:val="0"/>
                <w:sz w:val="18"/>
                <w:szCs w:val="18"/>
                <w:highlight w:val="none"/>
                <w:lang w:val="en-US" w:eastAsia="zh-CN"/>
              </w:rPr>
              <w:t>2</w:t>
            </w:r>
          </w:p>
        </w:tc>
        <w:tc>
          <w:tcPr>
            <w:tcW w:w="1487" w:type="pct"/>
            <w:gridSpan w:val="2"/>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城区环境空气质量优良天数</w:t>
            </w:r>
          </w:p>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比例（%）</w:t>
            </w:r>
          </w:p>
        </w:tc>
        <w:tc>
          <w:tcPr>
            <w:tcW w:w="611"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464"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1120" w:type="pct"/>
            <w:gridSpan w:val="2"/>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完成市下达指标</w:t>
            </w:r>
          </w:p>
        </w:tc>
        <w:tc>
          <w:tcPr>
            <w:tcW w:w="491"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约束性</w:t>
            </w:r>
          </w:p>
        </w:tc>
      </w:tr>
      <w:tr>
        <w:tblPrEx>
          <w:tblCellMar>
            <w:top w:w="0" w:type="dxa"/>
            <w:left w:w="108" w:type="dxa"/>
            <w:bottom w:w="0" w:type="dxa"/>
            <w:right w:w="108" w:type="dxa"/>
          </w:tblCellMar>
        </w:tblPrEx>
        <w:trPr>
          <w:trHeight w:val="414" w:hRule="exact"/>
          <w:tblHeader/>
          <w:jc w:val="center"/>
        </w:trPr>
        <w:tc>
          <w:tcPr>
            <w:tcW w:w="579" w:type="pct"/>
            <w:vMerge w:val="restart"/>
            <w:tcBorders>
              <w:top w:val="single" w:color="auto" w:sz="4" w:space="0"/>
              <w:left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安全保障</w:t>
            </w:r>
          </w:p>
        </w:tc>
        <w:tc>
          <w:tcPr>
            <w:tcW w:w="245" w:type="pct"/>
            <w:tcBorders>
              <w:top w:val="single" w:color="auto"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rPr>
              <w:t>2</w:t>
            </w:r>
            <w:r>
              <w:rPr>
                <w:rFonts w:hint="eastAsia" w:ascii="宋体" w:hAnsi="宋体" w:eastAsia="宋体" w:cs="宋体"/>
                <w:b w:val="0"/>
                <w:bCs w:val="0"/>
                <w:color w:val="auto"/>
                <w:kern w:val="0"/>
                <w:sz w:val="18"/>
                <w:szCs w:val="18"/>
                <w:highlight w:val="none"/>
                <w:lang w:val="en-US" w:eastAsia="zh-CN"/>
              </w:rPr>
              <w:t>3</w:t>
            </w:r>
          </w:p>
        </w:tc>
        <w:tc>
          <w:tcPr>
            <w:tcW w:w="1487" w:type="pct"/>
            <w:gridSpan w:val="2"/>
            <w:tcBorders>
              <w:top w:val="single" w:color="auto"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粮食综合生产能力</w:t>
            </w:r>
          </w:p>
        </w:tc>
        <w:tc>
          <w:tcPr>
            <w:tcW w:w="611" w:type="pct"/>
            <w:tcBorders>
              <w:top w:val="single" w:color="auto"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万吨</w:t>
            </w:r>
          </w:p>
        </w:tc>
        <w:tc>
          <w:tcPr>
            <w:tcW w:w="464" w:type="pct"/>
            <w:tcBorders>
              <w:top w:val="single" w:color="auto"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1120" w:type="pct"/>
            <w:gridSpan w:val="2"/>
            <w:tcBorders>
              <w:top w:val="single" w:color="auto"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&gt;13.7</w:t>
            </w:r>
          </w:p>
        </w:tc>
        <w:tc>
          <w:tcPr>
            <w:tcW w:w="491" w:type="pct"/>
            <w:tcBorders>
              <w:top w:val="single" w:color="auto"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约束性</w:t>
            </w:r>
          </w:p>
        </w:tc>
      </w:tr>
      <w:tr>
        <w:tblPrEx>
          <w:tblCellMar>
            <w:top w:w="0" w:type="dxa"/>
            <w:left w:w="108" w:type="dxa"/>
            <w:bottom w:w="0" w:type="dxa"/>
            <w:right w:w="108" w:type="dxa"/>
          </w:tblCellMar>
        </w:tblPrEx>
        <w:trPr>
          <w:trHeight w:val="644" w:hRule="exact"/>
          <w:tblHeader/>
          <w:jc w:val="center"/>
        </w:trPr>
        <w:tc>
          <w:tcPr>
            <w:tcW w:w="579" w:type="pct"/>
            <w:vMerge w:val="continue"/>
            <w:tcBorders>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p>
        </w:tc>
        <w:tc>
          <w:tcPr>
            <w:tcW w:w="245"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lang w:val="en-US" w:eastAsia="zh-CN"/>
              </w:rPr>
            </w:pPr>
            <w:r>
              <w:rPr>
                <w:rFonts w:hint="eastAsia" w:ascii="宋体" w:hAnsi="宋体" w:eastAsia="宋体" w:cs="宋体"/>
                <w:b w:val="0"/>
                <w:bCs w:val="0"/>
                <w:color w:val="auto"/>
                <w:kern w:val="0"/>
                <w:sz w:val="18"/>
                <w:szCs w:val="18"/>
                <w:highlight w:val="none"/>
              </w:rPr>
              <w:t>2</w:t>
            </w:r>
            <w:r>
              <w:rPr>
                <w:rFonts w:hint="eastAsia" w:ascii="宋体" w:hAnsi="宋体" w:eastAsia="宋体" w:cs="宋体"/>
                <w:b w:val="0"/>
                <w:bCs w:val="0"/>
                <w:color w:val="auto"/>
                <w:kern w:val="0"/>
                <w:sz w:val="18"/>
                <w:szCs w:val="18"/>
                <w:highlight w:val="none"/>
                <w:lang w:val="en-US" w:eastAsia="zh-CN"/>
              </w:rPr>
              <w:t>4</w:t>
            </w:r>
          </w:p>
        </w:tc>
        <w:tc>
          <w:tcPr>
            <w:tcW w:w="1487" w:type="pct"/>
            <w:gridSpan w:val="2"/>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left"/>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能源综合生产能力</w:t>
            </w:r>
          </w:p>
        </w:tc>
        <w:tc>
          <w:tcPr>
            <w:tcW w:w="611"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万吨</w:t>
            </w:r>
          </w:p>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标准煤</w:t>
            </w:r>
          </w:p>
        </w:tc>
        <w:tc>
          <w:tcPr>
            <w:tcW w:w="464"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w:t>
            </w:r>
          </w:p>
        </w:tc>
        <w:tc>
          <w:tcPr>
            <w:tcW w:w="1120" w:type="pct"/>
            <w:gridSpan w:val="2"/>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不超过市目标控制数</w:t>
            </w:r>
          </w:p>
        </w:tc>
        <w:tc>
          <w:tcPr>
            <w:tcW w:w="491" w:type="pct"/>
            <w:tcBorders>
              <w:top w:val="nil"/>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80" w:lineRule="exact"/>
              <w:ind w:firstLine="0" w:firstLineChars="0"/>
              <w:jc w:val="center"/>
              <w:textAlignment w:val="auto"/>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约束性</w:t>
            </w:r>
          </w:p>
        </w:tc>
      </w:tr>
    </w:tbl>
    <w:p>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宋体" w:hAnsi="宋体" w:eastAsia="宋体" w:cs="宋体"/>
          <w:b w:val="0"/>
          <w:bCs/>
          <w:color w:val="auto"/>
          <w:sz w:val="28"/>
          <w:szCs w:val="28"/>
          <w:highlight w:val="none"/>
          <w:lang w:val="en-US" w:eastAsia="zh-CN"/>
        </w:rPr>
      </w:pPr>
      <w:r>
        <w:rPr>
          <w:rFonts w:hint="eastAsia" w:ascii="宋体" w:hAnsi="宋体" w:eastAsia="宋体" w:cs="宋体"/>
          <w:b/>
          <w:bCs/>
          <w:kern w:val="2"/>
          <w:sz w:val="28"/>
          <w:szCs w:val="28"/>
          <w:lang w:val="en-US" w:eastAsia="zh-CN" w:bidi="ar-SA"/>
        </w:rPr>
        <w:t>注：</w:t>
      </w:r>
      <w:r>
        <w:rPr>
          <w:rFonts w:hint="eastAsia" w:ascii="宋体" w:hAnsi="宋体" w:eastAsia="宋体" w:cs="宋体"/>
          <w:kern w:val="2"/>
          <w:sz w:val="28"/>
          <w:szCs w:val="28"/>
          <w:lang w:val="en-US" w:eastAsia="zh-CN" w:bidi="ar-SA"/>
        </w:rPr>
        <w:t>增长率：地区生产总值增长率为剔除物价影响的实际增长率，其他指标均为名义增长率；“[ ]”为五年累计数。</w:t>
      </w:r>
      <w:bookmarkStart w:id="40" w:name="_Toc9556"/>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color w:val="auto"/>
          <w:szCs w:val="32"/>
          <w:highlight w:val="none"/>
        </w:rPr>
      </w:pPr>
      <w:r>
        <w:rPr>
          <w:rFonts w:hint="eastAsia" w:ascii="方正小标宋简体" w:hAnsi="方正小标宋简体" w:eastAsia="方正小标宋简体" w:cs="方正小标宋简体"/>
          <w:color w:val="auto"/>
          <w:szCs w:val="32"/>
          <w:highlight w:val="none"/>
        </w:rPr>
        <w:t>第三章 着力提升能级，构建现代化产业体系</w:t>
      </w:r>
      <w:bookmarkEnd w:id="40"/>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方正仿宋_GB2312" w:hAnsi="方正仿宋_GB2312" w:eastAsia="方正仿宋_GB2312" w:cs="方正仿宋_GB2312"/>
          <w:snapToGrid w:val="0"/>
          <w:color w:val="auto"/>
          <w:szCs w:val="32"/>
          <w:highlight w:val="none"/>
          <w:lang w:val="en-US" w:eastAsia="zh-CN"/>
        </w:rPr>
      </w:pPr>
      <w:r>
        <w:rPr>
          <w:rFonts w:hint="eastAsia" w:ascii="仿宋_GB2312" w:hAnsi="仿宋_GB2312" w:eastAsia="仿宋_GB2312" w:cs="仿宋_GB2312"/>
          <w:kern w:val="2"/>
          <w:sz w:val="32"/>
          <w:szCs w:val="32"/>
          <w:lang w:val="en-US" w:eastAsia="zh-CN" w:bidi="ar-SA"/>
        </w:rPr>
        <w:t>把发展新质生产力作为核心抓手，以“存量焕新、增量崛起、变量突破”为主线，以高端化跃升、绿色化转型、数字化赋能为方向，推动纺织、矿产、竹木加工等工业产业迭代提质升级。探索建立新兴产业培育库和未来产业先导区，强化政策扶持、要素保障和创新驱动，推动新兴产业从“跟跑”向“并跑”跨越，未来产业从“萌芽”向“壮大”成长，为县域经济注入持久动力。构建具有山区特色、绿色底色、创新亮色、数字成色的现代化产业体系。</w:t>
      </w:r>
      <w:r>
        <w:rPr>
          <w:rFonts w:hint="default" w:ascii="仿宋_GB2312" w:hAnsi="仿宋_GB2312" w:eastAsia="仿宋_GB2312" w:cs="仿宋_GB2312"/>
          <w:kern w:val="2"/>
          <w:sz w:val="32"/>
          <w:szCs w:val="32"/>
          <w:lang w:val="en-US" w:eastAsia="zh-CN" w:bidi="ar-SA"/>
        </w:rPr>
        <w:t>到2030年，力争三大传统产业产值突破200亿元。</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snapToGrid w:val="0"/>
          <w:color w:val="auto"/>
          <w:szCs w:val="32"/>
          <w:highlight w:val="none"/>
        </w:rPr>
      </w:pPr>
      <w:bookmarkStart w:id="41" w:name="_Toc8199"/>
      <w:bookmarkStart w:id="42" w:name="_Toc31975"/>
      <w:bookmarkStart w:id="43" w:name="_Toc31106"/>
      <w:bookmarkStart w:id="44" w:name="_Toc22946"/>
      <w:r>
        <w:rPr>
          <w:rFonts w:hint="default" w:ascii="黑体" w:hAnsi="黑体" w:eastAsia="黑体" w:cs="黑体"/>
          <w:b w:val="0"/>
          <w:bCs/>
          <w:snapToGrid w:val="0"/>
          <w:color w:val="auto"/>
          <w:szCs w:val="32"/>
          <w:highlight w:val="none"/>
        </w:rPr>
        <w:t xml:space="preserve">第一节 </w:t>
      </w:r>
      <w:bookmarkEnd w:id="41"/>
      <w:bookmarkEnd w:id="42"/>
      <w:bookmarkEnd w:id="43"/>
      <w:r>
        <w:rPr>
          <w:rFonts w:hint="default" w:ascii="黑体" w:hAnsi="黑体" w:eastAsia="黑体" w:cs="黑体"/>
          <w:b w:val="0"/>
          <w:bCs/>
          <w:snapToGrid w:val="0"/>
          <w:color w:val="auto"/>
          <w:szCs w:val="32"/>
          <w:highlight w:val="none"/>
        </w:rPr>
        <w:t>推动传统产业提档升级</w:t>
      </w:r>
      <w:bookmarkEnd w:id="44"/>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eastAsia" w:ascii="仿宋_GB2312" w:hAnsi="仿宋_GB2312" w:eastAsia="仿宋_GB2312" w:cs="仿宋_GB2312"/>
          <w:kern w:val="2"/>
          <w:sz w:val="32"/>
          <w:szCs w:val="32"/>
          <w:lang w:val="en-US" w:eastAsia="zh-CN" w:bidi="ar-SA"/>
        </w:rPr>
        <w:t>以数字化、绿色化、高端化、品牌化为方向，重点实施三大能级跃升工程，全力推动传统产业焕新提质，塑造产业发展优势，在市场竞争中持续释放发展动能，着力将尤溪打造成“工业强县”。</w:t>
      </w:r>
    </w:p>
    <w:p>
      <w:pPr>
        <w:pStyle w:val="7"/>
        <w:keepNext w:val="0"/>
        <w:keepLines w:val="0"/>
        <w:pageBreakBefore w:val="0"/>
        <w:widowControl w:val="0"/>
        <w:kinsoku/>
        <w:wordWrap/>
        <w:overflowPunct/>
        <w:topLinePunct w:val="0"/>
        <w:autoSpaceDE/>
        <w:autoSpaceDN/>
        <w:bidi w:val="0"/>
        <w:adjustRightInd/>
        <w:snapToGrid/>
        <w:spacing w:line="560" w:lineRule="exact"/>
        <w:ind w:firstLine="643"/>
        <w:jc w:val="both"/>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实施</w:t>
      </w:r>
      <w:r>
        <w:rPr>
          <w:rFonts w:hint="eastAsia" w:ascii="楷体_GB2312" w:hAnsi="楷体_GB2312" w:eastAsia="楷体_GB2312" w:cs="楷体_GB2312"/>
          <w:b/>
          <w:bCs/>
          <w:kern w:val="2"/>
          <w:sz w:val="32"/>
          <w:szCs w:val="32"/>
          <w:lang w:val="en-US" w:eastAsia="zh-CN" w:bidi="ar-SA"/>
        </w:rPr>
        <w:t>“纺织业能级跃升工程”</w:t>
      </w:r>
      <w:r>
        <w:rPr>
          <w:rFonts w:hint="default" w:ascii="楷体_GB2312" w:hAnsi="楷体_GB2312" w:eastAsia="楷体_GB2312" w:cs="楷体_GB2312"/>
          <w:b/>
          <w:bCs/>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依托“一区五园”工业平台，全面推动纺织产业全链条升级、全要素赋能，筑牢县域第一支柱产业根基。上游聚焦再生涤纶纤维、锦纶长丝、高支高密功能性纱线等关键原料，布局差异化纤维生产项目；中游强化革基布、高端面料等核心产品优势；下游延伸至成衣、家纺、产业用纺织品等终端领域，依托六融工业“垂直一体化”生产优势，招引上下游配套企业，攻关无水染色等核心技术，补齐补强全链条短板，实现锦纶产业链“锦纶长丝—加弹—经编—染整—服装”全链条贯通。智能制造深度赋能，抢抓大规模设备更新政策机遇，以鑫森、顺源、旭源等省级标杆企业为引领，推动生产流程数字化改造；重点建设全省首个纺织产业跨模态垂直大模型与工业互联网平台，搭建产业数据共</w:t>
      </w:r>
      <w:r>
        <w:rPr>
          <w:rFonts w:hint="default" w:ascii="仿宋_GB2312" w:hAnsi="仿宋_GB2312" w:eastAsia="仿宋_GB2312" w:cs="仿宋_GB2312"/>
          <w:kern w:val="2"/>
          <w:sz w:val="32"/>
          <w:szCs w:val="32"/>
          <w:lang w:val="en-US" w:eastAsia="zh-CN" w:bidi="ar-SA"/>
        </w:rPr>
        <w:t>享体系，到2030年智能装备普及率达60%，建成3家以上省级智能工厂。推进皓扬纺织再生纤维、华扬纤纺再生涤纶改造等项目，发展循环经济；推广以印代染、清洁生产工艺，开展节能减排技术攻关；培育8家</w:t>
      </w:r>
      <w:r>
        <w:rPr>
          <w:rFonts w:hint="eastAsia" w:ascii="仿宋_GB2312" w:hAnsi="仿宋_GB2312" w:eastAsia="仿宋_GB2312" w:cs="仿宋_GB2312"/>
          <w:kern w:val="2"/>
          <w:sz w:val="32"/>
          <w:szCs w:val="32"/>
          <w:lang w:val="en-US" w:eastAsia="zh-CN" w:bidi="ar-SA"/>
        </w:rPr>
        <w:t>以上国家级绿色工厂，推动城南工业集中区创建国家级绿色园区，构建产业与生态协同共生格局。深化“中国革基布名城”“中国混纺纱名城”区域公用品牌影响力，承接长三角、闽南地区产业转移，强化跨区域资源整合，联动企业自主品牌打造“双轮驱动”模式。</w:t>
      </w:r>
      <w:r>
        <w:rPr>
          <w:rFonts w:hint="default" w:ascii="仿宋_GB2312" w:hAnsi="仿宋_GB2312" w:eastAsia="仿宋_GB2312" w:cs="仿宋_GB2312"/>
          <w:kern w:val="2"/>
          <w:sz w:val="32"/>
          <w:szCs w:val="32"/>
          <w:lang w:val="en-US" w:eastAsia="zh-CN" w:bidi="ar-SA"/>
        </w:rPr>
        <w:t>到2030年，实现规上纺织产业产值突破100亿元，增速突破3%，</w:t>
      </w:r>
      <w:r>
        <w:rPr>
          <w:rFonts w:hint="eastAsia" w:ascii="仿宋_GB2312" w:hAnsi="仿宋_GB2312" w:eastAsia="仿宋_GB2312" w:cs="仿宋_GB2312"/>
          <w:kern w:val="2"/>
          <w:sz w:val="32"/>
          <w:szCs w:val="32"/>
          <w:lang w:val="en-US" w:eastAsia="zh-CN" w:bidi="ar-SA"/>
        </w:rPr>
        <w:t>形成“规模壮大、结构优化、技术领先、绿色低碳、品牌响亮”的现代化纺织产业体系。</w:t>
      </w:r>
    </w:p>
    <w:p>
      <w:pPr>
        <w:pStyle w:val="7"/>
        <w:spacing w:line="560" w:lineRule="exact"/>
        <w:ind w:firstLine="643"/>
        <w:jc w:val="center"/>
        <w:rPr>
          <w:rFonts w:hint="eastAsia" w:ascii="仿宋_GB2312" w:hAnsi="仿宋_GB2312" w:eastAsia="仿宋_GB2312" w:cs="仿宋_GB2312"/>
          <w:kern w:val="2"/>
          <w:sz w:val="32"/>
          <w:szCs w:val="32"/>
          <w:lang w:val="en-US" w:eastAsia="zh-CN" w:bidi="ar-SA"/>
        </w:rPr>
      </w:pPr>
      <w:bookmarkStart w:id="45" w:name="_Toc15024"/>
      <w:bookmarkStart w:id="46" w:name="_Toc25320"/>
      <w:r>
        <w:rPr>
          <w:rFonts w:hint="default" w:ascii="楷体_GB2312" w:hAnsi="楷体_GB2312" w:eastAsia="楷体_GB2312" w:cs="楷体_GB2312"/>
          <w:b/>
          <w:bCs/>
          <w:sz w:val="32"/>
          <w:szCs w:val="32"/>
        </w:rPr>
        <w:t>专栏2：推动纺织支柱产业能级跃升</w:t>
      </w:r>
      <w:bookmarkEnd w:id="45"/>
      <w:bookmarkEnd w:id="46"/>
      <w:r>
        <w:rPr>
          <w:rFonts w:hint="default" w:ascii="楷体_GB2312" w:hAnsi="楷体_GB2312" w:eastAsia="楷体_GB2312" w:cs="楷体_GB2312"/>
          <w:b/>
          <w:bCs/>
          <w:sz w:val="32"/>
          <w:szCs w:val="32"/>
        </w:rPr>
        <w:t>项目</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多功能高端纺织面料新材料建设项目。</w:t>
            </w:r>
            <w:r>
              <w:rPr>
                <w:rFonts w:hint="default" w:ascii="仿宋_GB2312" w:hAnsi="仿宋_GB2312" w:eastAsia="仿宋_GB2312" w:cs="仿宋_GB2312"/>
                <w:kern w:val="2"/>
                <w:sz w:val="32"/>
                <w:szCs w:val="32"/>
                <w:lang w:val="en-US" w:eastAsia="zh-CN" w:bidi="ar-SA"/>
              </w:rPr>
              <w:t>引进采用新型数控纺织设备自动穿经机生产高支、高密机织纺织品的多功能高档织物面料生产项目，做好基本厂房等相应配套设施；购置团粒机等先进设备，建设数字化生产线。</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纺织产业链创新平台。</w:t>
            </w:r>
            <w:r>
              <w:rPr>
                <w:rFonts w:hint="eastAsia" w:ascii="仿宋_GB2312" w:hAnsi="仿宋_GB2312" w:eastAsia="仿宋_GB2312" w:cs="仿宋_GB2312"/>
                <w:kern w:val="2"/>
                <w:sz w:val="32"/>
                <w:szCs w:val="32"/>
                <w:lang w:val="en-US" w:eastAsia="zh-CN" w:bidi="ar-SA"/>
              </w:rPr>
              <w:t>依托“东华纺织—尤溪研究院”实体化运营与科研成果转化，引进东华大学专家团队开展“科技特派员”驻企服务，建立“企业出题、研究院解题、市场落地”的闭环协同机制，每年开展5项以上产学研技术攻关，为县内纺织企业解决技术需求、咨询指导、联合研发等服务。</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方正仿宋_GB2312" w:cs="Times New Roman"/>
                <w:snapToGrid w:val="0"/>
                <w:color w:val="auto"/>
                <w:kern w:val="2"/>
                <w:sz w:val="32"/>
                <w:szCs w:val="32"/>
                <w:highlight w:val="none"/>
                <w:lang w:val="en-US" w:eastAsia="zh-CN" w:bidi="ar-SA"/>
              </w:rPr>
            </w:pPr>
            <w:r>
              <w:rPr>
                <w:rFonts w:hint="default" w:ascii="仿宋_GB2312" w:hAnsi="仿宋_GB2312" w:eastAsia="仿宋_GB2312" w:cs="仿宋_GB2312"/>
                <w:b/>
                <w:bCs/>
                <w:kern w:val="2"/>
                <w:sz w:val="32"/>
                <w:szCs w:val="32"/>
                <w:lang w:val="en-US" w:eastAsia="zh-CN" w:bidi="ar-SA"/>
              </w:rPr>
              <w:t>城南园经编染整产业智慧化提升工程。</w:t>
            </w:r>
            <w:r>
              <w:rPr>
                <w:rFonts w:hint="default" w:ascii="仿宋_GB2312" w:hAnsi="仿宋_GB2312" w:eastAsia="仿宋_GB2312" w:cs="仿宋_GB2312"/>
                <w:kern w:val="2"/>
                <w:sz w:val="32"/>
                <w:szCs w:val="32"/>
                <w:lang w:val="en-US" w:eastAsia="zh-CN" w:bidi="ar-SA"/>
              </w:rPr>
              <w:t>打造智慧纺织服务平台，涵盖智慧采集、质量追溯与监管、环保可持续发展、电子商务营销等多个模块，实现园区内经编染整产业全流程数据互通。</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cs="Times New Roman"/>
                <w:color w:val="auto"/>
                <w:highlight w:val="none"/>
              </w:rPr>
            </w:pPr>
            <w:r>
              <w:rPr>
                <w:rFonts w:hint="default" w:ascii="仿宋_GB2312" w:hAnsi="仿宋_GB2312" w:eastAsia="仿宋_GB2312" w:cs="仿宋_GB2312"/>
                <w:b/>
                <w:bCs/>
                <w:kern w:val="2"/>
                <w:sz w:val="32"/>
                <w:szCs w:val="32"/>
                <w:lang w:val="en-US" w:eastAsia="zh-CN" w:bidi="ar-SA"/>
              </w:rPr>
              <w:t>纺织“碳中和产业园”。</w:t>
            </w:r>
            <w:r>
              <w:rPr>
                <w:rFonts w:hint="default" w:ascii="仿宋_GB2312" w:hAnsi="仿宋_GB2312" w:eastAsia="仿宋_GB2312" w:cs="仿宋_GB2312"/>
                <w:kern w:val="2"/>
                <w:sz w:val="32"/>
                <w:szCs w:val="32"/>
                <w:lang w:val="en-US" w:eastAsia="zh-CN" w:bidi="ar-SA"/>
              </w:rPr>
              <w:t>在城南经编染整园实现集中供热的基础上，谋划与中国纺织科学研究院、天津工业大学合作将城南园改造升级为纺织“碳中和产业园”，成为三明纺织新材料研究院、产业用纺织品三明成果转化中心绿色低碳生产示范园。</w:t>
            </w:r>
          </w:p>
        </w:tc>
      </w:tr>
    </w:tbl>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实施“绿色矿业能级跃升工程”。</w:t>
      </w:r>
      <w:r>
        <w:rPr>
          <w:rFonts w:hint="eastAsia" w:ascii="仿宋_GB2312" w:hAnsi="仿宋_GB2312" w:eastAsia="仿宋_GB2312" w:cs="仿宋_GB2312"/>
          <w:kern w:val="2"/>
          <w:sz w:val="32"/>
          <w:szCs w:val="32"/>
          <w:lang w:val="en-US" w:eastAsia="zh-CN" w:bidi="ar-SA"/>
        </w:rPr>
        <w:t>以资源优势赋能产业发展，产业优化资源配置为核心思路；以“引进龙头育链条、整合资源强保障、专班推动优监管、阶段攻坚促落地”为发展路径。聚焦做强支柱、激活潜能、培育特色、强化增储四大方向。推动矿产资源从富资源、低产能向规模化、高效益转型。依托县域丰富的铅锌、碳酸盐岩、金银等矿产资源禀赋，聚焦铅锌、钙基新材料两大支柱产业，同步培育壮大金银、高端陶瓷原料、石料与饰面石材等优势特色产业。依托现有龙头矿山企业，开展矿山深边部资源潜力评价，聚焦稀土、金银等战略性矿种及铅锌等高价值矿种，优选具有找矿前景，符合出让条件的战略性矿产勘查区块，推进就矿找矿行动，提升资源保障能力，构建“精矿浮选—粉体制备—金属冶炼—金属制品”产业链；依托高标准产业园建设推动产业集群化发展，发挥龙头企业示范引领作用，对接行业优质企业，向下游招引精深加工、新材料等终端企业，培育白云岩、石英石、叶腊石等非金属矿产业，形成“开采—加工—制造—应用”产业链完整的非金属矿产业集群。</w:t>
      </w:r>
      <w:r>
        <w:rPr>
          <w:rFonts w:hint="default" w:ascii="仿宋_GB2312" w:hAnsi="仿宋_GB2312" w:eastAsia="仿宋_GB2312" w:cs="仿宋_GB2312"/>
          <w:kern w:val="2"/>
          <w:sz w:val="32"/>
          <w:szCs w:val="32"/>
          <w:lang w:val="en-US" w:eastAsia="zh-CN" w:bidi="ar-SA"/>
        </w:rPr>
        <w:t>到2030年，矿业产值突破20亿元，产业综合利用与数字化水平显著提升，全面推动矿业提质增效、绿色高质量发展。</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lang w:val="en-US" w:eastAsia="zh-CN"/>
        </w:rPr>
      </w:pPr>
      <w:bookmarkStart w:id="47" w:name="_Toc17527"/>
      <w:r>
        <w:rPr>
          <w:rFonts w:hint="eastAsia" w:ascii="楷体_GB2312" w:hAnsi="楷体_GB2312" w:eastAsia="楷体_GB2312" w:cs="楷体_GB2312"/>
          <w:b/>
          <w:bCs/>
          <w:sz w:val="32"/>
          <w:szCs w:val="32"/>
        </w:rPr>
        <w:t>专栏3：矿业产业能级跃升工程</w:t>
      </w:r>
      <w:bookmarkEnd w:id="47"/>
    </w:p>
    <w:tbl>
      <w:tblPr>
        <w:tblStyle w:val="18"/>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60" w:lineRule="exact"/>
              <w:ind w:firstLine="562"/>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有色金属循环产业园。</w:t>
            </w:r>
            <w:r>
              <w:rPr>
                <w:rFonts w:hint="eastAsia" w:ascii="仿宋_GB2312" w:hAnsi="仿宋_GB2312" w:eastAsia="仿宋_GB2312" w:cs="仿宋_GB2312"/>
                <w:kern w:val="2"/>
                <w:sz w:val="32"/>
                <w:szCs w:val="32"/>
                <w:lang w:val="en-US" w:eastAsia="zh-CN" w:bidi="ar-SA"/>
              </w:rPr>
              <w:t>以梅仙—联合片区为核心承载区，明确“延续整合铅锌矿权、扩大采选规模、重启冶炼产能、发展精深加工”的阶梯式产业发展路径，高标准推进有色金属循环经济产业园建设，重点支持金东公司实施选矿厂新建、扩建、技改及工业广场、尾矿库等采选配套项目建设。</w:t>
            </w:r>
          </w:p>
          <w:p>
            <w:pPr>
              <w:keepNext w:val="0"/>
              <w:keepLines w:val="0"/>
              <w:pageBreakBefore w:val="0"/>
              <w:widowControl w:val="0"/>
              <w:kinsoku/>
              <w:wordWrap/>
              <w:overflowPunct/>
              <w:topLinePunct w:val="0"/>
              <w:autoSpaceDE/>
              <w:autoSpaceDN/>
              <w:bidi w:val="0"/>
              <w:adjustRightInd/>
              <w:snapToGrid/>
              <w:spacing w:line="560" w:lineRule="exact"/>
              <w:ind w:firstLine="562"/>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金银矿开采基地。</w:t>
            </w:r>
            <w:r>
              <w:rPr>
                <w:rFonts w:hint="eastAsia" w:ascii="仿宋_GB2312" w:hAnsi="仿宋_GB2312" w:eastAsia="仿宋_GB2312" w:cs="仿宋_GB2312"/>
                <w:kern w:val="2"/>
                <w:sz w:val="32"/>
                <w:szCs w:val="32"/>
                <w:lang w:val="en-US" w:eastAsia="zh-CN" w:bidi="ar-SA"/>
              </w:rPr>
              <w:t>立足坂面—中仙区域金银矿资源禀赋优势，加大资源勘查力度，推动探矿权有序转为采矿权。着力扩大金银矿开采规模，优化开采工艺与资源综合利用水平，构建集勘查、开采、综合利用于一体的产业体系，推动建设规模化、集约化的金银矿开采基地，增强产业整体竞争力，助力金银矿产业成为县域经济的重要支撑。</w:t>
            </w:r>
          </w:p>
          <w:p>
            <w:pPr>
              <w:keepNext w:val="0"/>
              <w:keepLines w:val="0"/>
              <w:pageBreakBefore w:val="0"/>
              <w:widowControl w:val="0"/>
              <w:kinsoku/>
              <w:wordWrap/>
              <w:overflowPunct/>
              <w:topLinePunct w:val="0"/>
              <w:autoSpaceDE/>
              <w:autoSpaceDN/>
              <w:bidi w:val="0"/>
              <w:adjustRightInd/>
              <w:snapToGrid/>
              <w:spacing w:line="560" w:lineRule="exact"/>
              <w:ind w:firstLine="562"/>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稀土开采区。</w:t>
            </w:r>
            <w:r>
              <w:rPr>
                <w:rFonts w:hint="eastAsia" w:ascii="仿宋_GB2312" w:hAnsi="仿宋_GB2312" w:eastAsia="仿宋_GB2312" w:cs="仿宋_GB2312"/>
                <w:kern w:val="2"/>
                <w:sz w:val="32"/>
                <w:szCs w:val="32"/>
                <w:lang w:val="en-US" w:eastAsia="zh-CN" w:bidi="ar-SA"/>
              </w:rPr>
              <w:t>依托县域内稀土矿潜在资源优势，争取政策支持，推出稀土探矿权，力争在2030年实现探矿权转采矿权，积极争取稀土分离指标，引进稀土分离冶炼项目，搭建稀土矿“探—采—加工”产业链。</w:t>
            </w:r>
          </w:p>
          <w:p>
            <w:pPr>
              <w:keepNext w:val="0"/>
              <w:keepLines w:val="0"/>
              <w:pageBreakBefore w:val="0"/>
              <w:widowControl w:val="0"/>
              <w:kinsoku/>
              <w:wordWrap/>
              <w:overflowPunct/>
              <w:topLinePunct w:val="0"/>
              <w:autoSpaceDE/>
              <w:autoSpaceDN/>
              <w:bidi w:val="0"/>
              <w:adjustRightInd/>
              <w:snapToGrid/>
              <w:spacing w:line="560" w:lineRule="exact"/>
              <w:ind w:firstLine="562"/>
              <w:jc w:val="both"/>
              <w:textAlignment w:val="auto"/>
              <w:rPr>
                <w:rFonts w:hint="default" w:ascii="Times New Roman" w:hAnsi="Times New Roman" w:eastAsia="方正仿宋_GB2312" w:cs="Times New Roman"/>
                <w:color w:val="auto"/>
                <w:szCs w:val="32"/>
                <w:highlight w:val="none"/>
              </w:rPr>
            </w:pPr>
            <w:r>
              <w:rPr>
                <w:rFonts w:hint="eastAsia" w:ascii="仿宋_GB2312" w:hAnsi="仿宋_GB2312" w:eastAsia="仿宋_GB2312" w:cs="仿宋_GB2312"/>
                <w:b/>
                <w:bCs/>
                <w:kern w:val="2"/>
                <w:sz w:val="32"/>
                <w:szCs w:val="32"/>
                <w:lang w:val="en-US" w:eastAsia="zh-CN" w:bidi="ar-SA"/>
              </w:rPr>
              <w:t>非金属特色产业集群。</w:t>
            </w:r>
            <w:r>
              <w:rPr>
                <w:rFonts w:hint="eastAsia" w:ascii="仿宋_GB2312" w:hAnsi="仿宋_GB2312" w:eastAsia="仿宋_GB2312" w:cs="仿宋_GB2312"/>
                <w:kern w:val="2"/>
                <w:sz w:val="32"/>
                <w:szCs w:val="32"/>
                <w:lang w:val="en-US" w:eastAsia="zh-CN" w:bidi="ar-SA"/>
              </w:rPr>
              <w:t>依托县内白云岩、大理岩等优质非金属矿产资源，着力构建钙粉产业从矿石开采、粉体加工、改性处理到塑料母粒、材料应用与研究等完整的产业链，按照“整合并购—勘查开发—精深加工—市场应用”产业发展路径，支持南京金基集团布局发展钙粉产业，加快推进金恒“采选加”配套项目建设，做强做优石塑地板、竹炭腻子膏等现有新型建材产业；聚焦碳酸钙粉精深加工环节，精准引入下游应用企业，完善产业链；引进厨卫新材料企业，发展陶瓷卫浴产业，重点开发高端高岭土、石英、叶蜡石等配套矿产品；壮大饰面石材与石料产业，建设集矿山开采、机制砂加工、预拌干混砂浆生产、饰面石材加工于一体的综合性石料石材产业园。</w:t>
            </w:r>
          </w:p>
        </w:tc>
      </w:tr>
    </w:tbl>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bookmarkStart w:id="48" w:name="_Toc6849"/>
      <w:bookmarkStart w:id="49" w:name="_Toc2581"/>
      <w:bookmarkStart w:id="50" w:name="_Toc31691"/>
      <w:r>
        <w:rPr>
          <w:rFonts w:hint="default" w:ascii="楷体_GB2312" w:hAnsi="楷体_GB2312" w:eastAsia="楷体_GB2312" w:cs="楷体_GB2312"/>
          <w:b/>
          <w:bCs/>
          <w:kern w:val="2"/>
          <w:sz w:val="32"/>
          <w:szCs w:val="32"/>
          <w:lang w:val="en-US" w:eastAsia="zh-CN" w:bidi="ar-SA"/>
        </w:rPr>
        <w:t>实施“竹木加工业能级跃升工程”。</w:t>
      </w:r>
      <w:r>
        <w:rPr>
          <w:rFonts w:hint="eastAsia" w:ascii="仿宋_GB2312" w:hAnsi="仿宋_GB2312" w:eastAsia="仿宋_GB2312" w:cs="仿宋_GB2312"/>
          <w:kern w:val="2"/>
          <w:sz w:val="32"/>
          <w:szCs w:val="32"/>
          <w:lang w:val="en-US" w:eastAsia="zh-CN" w:bidi="ar-SA"/>
        </w:rPr>
        <w:t>立足“闽中竹木精深加工集聚区”“全省竹制品出口基地”定位，以闽中（尤溪）绿色发展林业示范园为核心载体，推动产业从初加工向高精尖、全链条转型。上游夯实资源基底，完成</w:t>
      </w:r>
      <w:r>
        <w:rPr>
          <w:rFonts w:hint="default" w:ascii="仿宋_GB2312" w:hAnsi="仿宋_GB2312" w:eastAsia="仿宋_GB2312" w:cs="仿宋_GB2312"/>
          <w:kern w:val="2"/>
          <w:sz w:val="32"/>
          <w:szCs w:val="32"/>
          <w:lang w:val="en-US" w:eastAsia="zh-CN" w:bidi="ar-SA"/>
        </w:rPr>
        <w:t>人工造林更新10万亩，森林提质改造2.5万亩，森林抚育35万亩，封山育林10万亩，</w:t>
      </w:r>
      <w:r>
        <w:rPr>
          <w:rFonts w:hint="eastAsia" w:ascii="仿宋_GB2312" w:hAnsi="仿宋_GB2312" w:eastAsia="仿宋_GB2312" w:cs="仿宋_GB2312"/>
          <w:kern w:val="2"/>
          <w:sz w:val="32"/>
          <w:szCs w:val="32"/>
          <w:lang w:val="zh-CN" w:eastAsia="zh-CN" w:bidi="ar-SA"/>
        </w:rPr>
        <w:t>建</w:t>
      </w:r>
      <w:r>
        <w:rPr>
          <w:rFonts w:hint="eastAsia" w:ascii="仿宋_GB2312" w:hAnsi="仿宋_GB2312" w:eastAsia="仿宋_GB2312" w:cs="仿宋_GB2312"/>
          <w:kern w:val="2"/>
          <w:sz w:val="32"/>
          <w:szCs w:val="32"/>
          <w:lang w:val="en-US" w:eastAsia="zh-CN" w:bidi="ar-SA"/>
        </w:rPr>
        <w:t>成</w:t>
      </w:r>
      <w:r>
        <w:rPr>
          <w:rFonts w:hint="eastAsia" w:ascii="仿宋_GB2312" w:hAnsi="仿宋_GB2312" w:eastAsia="仿宋_GB2312" w:cs="仿宋_GB2312"/>
          <w:kern w:val="2"/>
          <w:sz w:val="32"/>
          <w:szCs w:val="32"/>
          <w:lang w:val="zh-CN" w:eastAsia="zh-CN" w:bidi="ar-SA"/>
        </w:rPr>
        <w:t>丰产竹林基地</w:t>
      </w:r>
      <w:r>
        <w:rPr>
          <w:rFonts w:hint="eastAsia" w:ascii="仿宋_GB2312" w:hAnsi="仿宋_GB2312" w:eastAsia="仿宋_GB2312" w:cs="仿宋_GB2312"/>
          <w:kern w:val="2"/>
          <w:sz w:val="32"/>
          <w:szCs w:val="32"/>
          <w:lang w:val="en-US" w:eastAsia="zh-CN" w:bidi="ar-SA"/>
        </w:rPr>
        <w:t>3.5</w:t>
      </w:r>
      <w:r>
        <w:rPr>
          <w:rFonts w:hint="eastAsia" w:ascii="仿宋_GB2312" w:hAnsi="仿宋_GB2312" w:eastAsia="仿宋_GB2312" w:cs="仿宋_GB2312"/>
          <w:kern w:val="2"/>
          <w:sz w:val="32"/>
          <w:szCs w:val="32"/>
          <w:lang w:val="zh-CN" w:eastAsia="zh-CN" w:bidi="ar-SA"/>
        </w:rPr>
        <w:t>万亩，打造固碳增汇示范片，探索碳汇交易。</w:t>
      </w:r>
      <w:r>
        <w:rPr>
          <w:rFonts w:hint="eastAsia" w:ascii="仿宋_GB2312" w:hAnsi="仿宋_GB2312" w:eastAsia="仿宋_GB2312" w:cs="仿宋_GB2312"/>
          <w:kern w:val="2"/>
          <w:sz w:val="32"/>
          <w:szCs w:val="32"/>
          <w:lang w:val="en-US" w:eastAsia="zh-CN" w:bidi="ar-SA"/>
        </w:rPr>
        <w:t>中游深耕精深加工，攻克以竹代塑、高端材料关键技术，推进竹浆纸一体化、竹木智能家居、竹基复合材料三大项目，重点发展竹缠绕复合管、集装箱底板、新能源汽车内饰等高端产品。下游延伸产业链条，构建“资源培育—精深加工—终端应用—循环利用”全产业链，依托三产融合、数字赋能、品牌引领，升级“尤溪绿竹笋”地理标志，培育“竹居生活”等品牌，联动“熹宝尤礼”区域品牌打造文创伴手礼；建成外贸服务中心，配齐检测、跨境电商配套，拓展“一带一路”市场。</w:t>
      </w:r>
      <w:r>
        <w:rPr>
          <w:rFonts w:hint="default" w:ascii="仿宋_GB2312" w:hAnsi="仿宋_GB2312" w:eastAsia="仿宋_GB2312" w:cs="仿宋_GB2312"/>
          <w:kern w:val="2"/>
          <w:sz w:val="32"/>
          <w:szCs w:val="32"/>
          <w:lang w:val="en-US" w:eastAsia="zh-CN" w:bidi="ar-SA"/>
        </w:rPr>
        <w:t>到2030年，力争竹木产业总产值突破200亿元，规上竹木企业不少于60家，高新技术及专精特新企业达15家。</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lang w:val="en-US" w:eastAsia="zh-CN"/>
        </w:rPr>
      </w:pPr>
      <w:bookmarkStart w:id="51" w:name="_Toc5679"/>
      <w:r>
        <w:rPr>
          <w:rFonts w:hint="default" w:ascii="楷体_GB2312" w:hAnsi="楷体_GB2312" w:eastAsia="楷体_GB2312" w:cs="楷体_GB2312"/>
          <w:b/>
          <w:bCs/>
          <w:sz w:val="32"/>
          <w:szCs w:val="32"/>
        </w:rPr>
        <w:t>专栏4：推动竹木加工业能级跃升工程</w:t>
      </w:r>
      <w:bookmarkEnd w:id="51"/>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竹木产业三产融合发展项目。</w:t>
            </w:r>
            <w:r>
              <w:rPr>
                <w:rFonts w:hint="eastAsia" w:ascii="仿宋_GB2312" w:hAnsi="仿宋_GB2312" w:eastAsia="仿宋_GB2312" w:cs="仿宋_GB2312"/>
                <w:kern w:val="2"/>
                <w:sz w:val="32"/>
                <w:szCs w:val="32"/>
                <w:lang w:val="en-US" w:eastAsia="zh-CN" w:bidi="ar-SA"/>
              </w:rPr>
              <w:t>一产提质增效，推广标准化丰产竹林培育技术，发展林菌、林药、林禽等多元林下经济，打造绿色低碳原料基地；二产延链强链，聚焦“以竹代塑”和竹基新材料两大方向，发展高端精深加工，构建“资源—加工—副产物利用—再生资源”的全产业链循环体系；三产融合赋能，深度挖掘竹文化内涵，打造竹主题文旅体验线路，探索竹林碳汇交易与服务模式，培育竹木文创与品牌运营新业态，形成“一产筑基、二产提质、三产增值”的高质量融合发展格局。</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百棱集装箱底板及中密度纤维板生产项目。</w:t>
            </w:r>
            <w:r>
              <w:rPr>
                <w:rFonts w:hint="eastAsia" w:ascii="仿宋_GB2312" w:hAnsi="仿宋_GB2312" w:eastAsia="仿宋_GB2312" w:cs="仿宋_GB2312"/>
                <w:kern w:val="2"/>
                <w:sz w:val="32"/>
                <w:szCs w:val="32"/>
                <w:lang w:val="en-US" w:eastAsia="zh-CN" w:bidi="ar-SA"/>
              </w:rPr>
              <w:t>建设集生产制造、研发创新、仓储物流、展示交易与办公于一体的综合性产业园。项目采用自动化、数字化数控设备，以竹木为主要原料，专业生产集装箱底板、中密度纤维板等高端人造板产品。</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sz w:val="28"/>
                <w:szCs w:val="28"/>
                <w:highlight w:val="none"/>
                <w:lang w:bidi="ar"/>
              </w:rPr>
            </w:pPr>
            <w:r>
              <w:rPr>
                <w:rFonts w:hint="eastAsia" w:ascii="仿宋_GB2312" w:hAnsi="仿宋_GB2312" w:eastAsia="仿宋_GB2312" w:cs="仿宋_GB2312"/>
                <w:b/>
                <w:bCs/>
                <w:kern w:val="2"/>
                <w:sz w:val="32"/>
                <w:szCs w:val="32"/>
                <w:lang w:val="en-US" w:eastAsia="zh-CN" w:bidi="ar-SA"/>
              </w:rPr>
              <w:t>重点竹木工艺品生产项目。</w:t>
            </w:r>
            <w:r>
              <w:rPr>
                <w:rFonts w:hint="eastAsia" w:ascii="仿宋_GB2312" w:hAnsi="仿宋_GB2312" w:eastAsia="仿宋_GB2312" w:cs="仿宋_GB2312"/>
                <w:kern w:val="2"/>
                <w:sz w:val="32"/>
                <w:szCs w:val="32"/>
                <w:lang w:val="en-US" w:eastAsia="zh-CN" w:bidi="ar-SA"/>
              </w:rPr>
              <w:t>推动尤溪沈辉木业有限公司绿色高端竹木工艺品生产项目、德宇现代竹木家居生产项目、浩达竹工艺品自动化数字化生产线建设。</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52" w:name="_Toc21542"/>
      <w:r>
        <w:rPr>
          <w:rFonts w:hint="default" w:ascii="黑体" w:hAnsi="黑体" w:eastAsia="黑体" w:cs="黑体"/>
          <w:b w:val="0"/>
          <w:bCs/>
          <w:snapToGrid w:val="0"/>
          <w:color w:val="auto"/>
          <w:szCs w:val="32"/>
          <w:highlight w:val="none"/>
        </w:rPr>
        <w:t>第二节 促进战略性新兴产业提质升级</w:t>
      </w:r>
      <w:bookmarkEnd w:id="52"/>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统筹区位、资源、产业比较优势，强化数字化技术运用，推动多产业融合提质。提档升级机械电子、新能源等新兴产业，以项目为牵引低空经济培育壮大，打造县域经济增长动力源、区域创新发展集聚极，构建动能充盈、潜力强劲的战略性新兴产业发展格局。</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聚力提质机械电子产业。</w:t>
      </w:r>
      <w:r>
        <w:rPr>
          <w:rFonts w:hint="eastAsia" w:ascii="仿宋_GB2312" w:hAnsi="仿宋_GB2312" w:eastAsia="仿宋_GB2312" w:cs="仿宋_GB2312"/>
          <w:kern w:val="2"/>
          <w:sz w:val="32"/>
          <w:szCs w:val="32"/>
          <w:lang w:val="en-US" w:eastAsia="zh-CN" w:bidi="ar-SA"/>
        </w:rPr>
        <w:t>锚定新型工业化发展方向，依托福建省小型微型企业创业创新示范基地——洋中机电高新产业园平台，发挥集聚发展优势。实施“腾笼换鸟”行动，高效盘活存量资源，提升土地节约集约利用效能。持续深化精准招商、以商引商模式，招引数智机电、绿色建材、金属加工等优质业态，构建“产品设计－设备生产－装备应用”全产业链，推动产业体系迭代升级。</w:t>
      </w:r>
      <w:r>
        <w:rPr>
          <w:rFonts w:hint="default" w:ascii="仿宋_GB2312" w:hAnsi="仿宋_GB2312" w:eastAsia="仿宋_GB2312" w:cs="仿宋_GB2312"/>
          <w:kern w:val="2"/>
          <w:sz w:val="32"/>
          <w:szCs w:val="32"/>
          <w:lang w:val="en-US" w:eastAsia="zh-CN" w:bidi="ar-SA"/>
        </w:rPr>
        <w:t>力争2030年，洋中机电高新产业园高质量机械电子产业占比突破70%，全县机械电子产业实现总产</w:t>
      </w:r>
      <w:r>
        <w:rPr>
          <w:rFonts w:hint="eastAsia" w:ascii="仿宋_GB2312" w:hAnsi="仿宋_GB2312" w:eastAsia="仿宋_GB2312" w:cs="仿宋_GB2312"/>
          <w:kern w:val="2"/>
          <w:sz w:val="32"/>
          <w:szCs w:val="32"/>
          <w:lang w:val="en-US" w:eastAsia="zh-CN" w:bidi="ar-SA"/>
        </w:rPr>
        <w:t>值突破5亿元。</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b/>
          <w:bCs/>
          <w:kern w:val="2"/>
          <w:sz w:val="32"/>
          <w:szCs w:val="32"/>
          <w:lang w:val="en-US" w:eastAsia="zh-CN" w:bidi="ar-SA"/>
        </w:rPr>
      </w:pPr>
      <w:bookmarkStart w:id="53" w:name="_Toc6262"/>
      <w:r>
        <w:rPr>
          <w:rFonts w:hint="eastAsia" w:ascii="楷体_GB2312" w:hAnsi="楷体_GB2312" w:eastAsia="楷体_GB2312" w:cs="楷体_GB2312"/>
          <w:b/>
          <w:bCs/>
          <w:kern w:val="2"/>
          <w:sz w:val="32"/>
          <w:szCs w:val="32"/>
          <w:lang w:val="en-US" w:eastAsia="zh-CN" w:bidi="ar-SA"/>
        </w:rPr>
        <w:t>专栏5：培育壮大新兴产业行动</w:t>
      </w:r>
      <w:bookmarkEnd w:id="53"/>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“风光水储一体化”工程。</w:t>
            </w:r>
            <w:r>
              <w:rPr>
                <w:rFonts w:hint="eastAsia" w:ascii="仿宋_GB2312" w:hAnsi="仿宋_GB2312" w:eastAsia="仿宋_GB2312" w:cs="仿宋_GB2312"/>
                <w:kern w:val="2"/>
                <w:sz w:val="32"/>
                <w:szCs w:val="32"/>
                <w:lang w:val="en-US" w:eastAsia="zh-CN" w:bidi="ar-SA"/>
              </w:rPr>
              <w:t>推动闽江北水南调项目建设，包括坂面水库工程、街面水库综合利用工程和北水南调输水工程；统筹推进新能源开发利用，重点发展光伏发电、抽水蓄能等多能互补系统。依托八字桥、管前、台溪等乡镇的高山峡谷资源，合理布局集中式风电、分布式光伏和抽水蓄能电站。</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无人机“培训+产品+服务”一体化生态建设。</w:t>
            </w:r>
            <w:r>
              <w:rPr>
                <w:rFonts w:hint="eastAsia" w:ascii="仿宋_GB2312" w:hAnsi="仿宋_GB2312" w:eastAsia="仿宋_GB2312" w:cs="仿宋_GB2312"/>
                <w:kern w:val="2"/>
                <w:sz w:val="32"/>
                <w:szCs w:val="32"/>
                <w:lang w:val="en-US" w:eastAsia="zh-CN" w:bidi="ar-SA"/>
              </w:rPr>
              <w:t>一是加强低空基础设施建设，逐步推进通用机场、直升机场临时起降点、无人机起降平台、垂直起降点等基础设施建设，构建多场景、多主体、多层次有人机与无人机兼顾的起降点网络。二是开展CAAC无人机执照培训，同步推进无人机测试基地、低空航路网和智能管控平台建设，深度参与“通航+文旅”低空游览、“通航+应急”空中救援等场景落地。</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bCs/>
                <w:kern w:val="2"/>
                <w:sz w:val="32"/>
                <w:szCs w:val="32"/>
                <w:lang w:val="zh-CN" w:eastAsia="zh-CN" w:bidi="ar-SA"/>
              </w:rPr>
              <w:t>城区低空经济试验走廊。</w:t>
            </w:r>
            <w:r>
              <w:rPr>
                <w:rFonts w:hint="eastAsia" w:ascii="仿宋_GB2312" w:hAnsi="仿宋_GB2312" w:eastAsia="仿宋_GB2312" w:cs="仿宋_GB2312"/>
                <w:kern w:val="2"/>
                <w:sz w:val="32"/>
                <w:szCs w:val="32"/>
                <w:lang w:val="en-US" w:eastAsia="zh-CN" w:bidi="ar-SA"/>
              </w:rPr>
              <w:t>部署卫星地面接收分站（对接海丝卫星数据）、系留无人机中继站，建设城区智能停机坪（覆盖县域重点区域），形成“天上看（卫星）—空中巡（无人机）—地上处（处置终端）”闭环。打造特色应用场景，立足山区特色与产业基础，拓展低空应急救援、高速公路巡检、无人机竹木吊运、智慧农业植保、低空文旅观光、城乡物流配送等特色场景应用。</w:t>
            </w:r>
          </w:p>
        </w:tc>
      </w:tr>
    </w:tbl>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聚力布局新能源产业。</w:t>
      </w:r>
      <w:r>
        <w:rPr>
          <w:rFonts w:hint="default" w:ascii="仿宋_GB2312" w:hAnsi="仿宋_GB2312" w:eastAsia="仿宋_GB2312" w:cs="仿宋_GB2312"/>
          <w:kern w:val="2"/>
          <w:sz w:val="32"/>
          <w:szCs w:val="32"/>
          <w:lang w:val="en-US" w:eastAsia="zh-CN" w:bidi="ar-SA"/>
        </w:rPr>
        <w:t>立足县域水能光照资源禀赋，有序推进流域水风光储一体化项目建设，打造区域特色绿色能源高地，实现生态、经济、社会效益协同提升，稳步推动生物质能源产业落地投产、聚势成链。</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聚力培育低空经济产业。</w:t>
      </w:r>
      <w:r>
        <w:rPr>
          <w:rFonts w:hint="eastAsia" w:ascii="仿宋_GB2312" w:hAnsi="仿宋_GB2312" w:eastAsia="仿宋_GB2312" w:cs="仿宋_GB2312"/>
          <w:kern w:val="2"/>
          <w:sz w:val="32"/>
          <w:szCs w:val="32"/>
          <w:lang w:val="en-US" w:eastAsia="zh-CN" w:bidi="ar-SA"/>
        </w:rPr>
        <w:t>发挥官方授权培训资质优势，完善无人机“培训+产品+服务”产业生态，布局航空通勤、应急救援、低空旅游等新兴业态。策划古溪星河—闽湖—九阜山低空旅游环线与低空公交线路，与厦沙高铁错位互补；推进通用机场建设，打通多地机场接驳航线，构建空铁联运体系，融入福州一小时通勤圈，布局低空冷链物流节点，打造县域新兴经济增长极。</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snapToGrid w:val="0"/>
          <w:color w:val="auto"/>
          <w:szCs w:val="32"/>
          <w:highlight w:val="none"/>
        </w:rPr>
      </w:pPr>
      <w:bookmarkStart w:id="54" w:name="_Toc3333"/>
      <w:r>
        <w:rPr>
          <w:rFonts w:hint="default" w:ascii="黑体" w:hAnsi="黑体" w:eastAsia="黑体" w:cs="黑体"/>
          <w:b w:val="0"/>
          <w:bCs/>
          <w:snapToGrid w:val="0"/>
          <w:color w:val="auto"/>
          <w:szCs w:val="32"/>
          <w:highlight w:val="none"/>
        </w:rPr>
        <w:t xml:space="preserve">第三节 </w:t>
      </w:r>
      <w:bookmarkEnd w:id="48"/>
      <w:bookmarkEnd w:id="49"/>
      <w:bookmarkEnd w:id="50"/>
      <w:r>
        <w:rPr>
          <w:rFonts w:hint="default" w:ascii="黑体" w:hAnsi="黑体" w:eastAsia="黑体" w:cs="黑体"/>
          <w:b w:val="0"/>
          <w:bCs/>
          <w:snapToGrid w:val="0"/>
          <w:color w:val="auto"/>
          <w:szCs w:val="32"/>
          <w:highlight w:val="none"/>
        </w:rPr>
        <w:t>提升未来产业培育能级</w:t>
      </w:r>
      <w:bookmarkEnd w:id="54"/>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抢抓全球科技革命和产业变革机遇，培育数字经济、新材料等未来产业，锻造发展新引擎、积蓄产业新势能。</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eastAsia" w:ascii="楷体_GB2312" w:hAnsi="楷体_GB2312" w:eastAsia="楷体_GB2312" w:cs="楷体_GB2312"/>
          <w:b/>
          <w:bCs/>
          <w:kern w:val="2"/>
          <w:sz w:val="32"/>
          <w:szCs w:val="32"/>
          <w:lang w:val="en-US" w:eastAsia="zh-CN" w:bidi="ar-SA"/>
        </w:rPr>
        <w:t>聚力培育数据标注产业。</w:t>
      </w:r>
      <w:r>
        <w:rPr>
          <w:rFonts w:hint="eastAsia" w:ascii="仿宋_GB2312" w:hAnsi="仿宋_GB2312" w:eastAsia="仿宋_GB2312" w:cs="仿宋_GB2312"/>
          <w:kern w:val="2"/>
          <w:sz w:val="32"/>
          <w:szCs w:val="32"/>
          <w:lang w:val="en-US" w:eastAsia="zh-CN" w:bidi="ar-SA"/>
        </w:rPr>
        <w:t>依托沪明对口合作、山海协作机制，建设福建省数据标注（尤溪节点）基地，构建数据采集、精准标注、高效流通、场景应用全链条产业体系。聚焦智慧医疗、智慧养老、数字社区、智慧教育、智慧文旅、智能制造、智慧农业等领域，引育人工智能龙头企业，壮大本土特色数据标注产业集群。</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聚力壮大新材料产业。</w:t>
      </w:r>
      <w:r>
        <w:rPr>
          <w:rFonts w:hint="eastAsia" w:ascii="仿宋_GB2312" w:hAnsi="仿宋_GB2312" w:eastAsia="仿宋_GB2312" w:cs="仿宋_GB2312"/>
          <w:kern w:val="2"/>
          <w:sz w:val="32"/>
          <w:szCs w:val="32"/>
          <w:lang w:val="en-US" w:eastAsia="zh-CN" w:bidi="ar-SA"/>
        </w:rPr>
        <w:t>立足纺织加工、矿产加工产业基础，以龙头项目为牵引，以产业链为纽带，精准招引配套企业，形成链式集聚、集群发展格局。加快发展锦纶、氨</w:t>
      </w:r>
      <w:bookmarkStart w:id="295" w:name="_GoBack"/>
      <w:bookmarkEnd w:id="295"/>
      <w:r>
        <w:rPr>
          <w:rFonts w:hint="eastAsia" w:ascii="仿宋_GB2312" w:hAnsi="仿宋_GB2312" w:eastAsia="仿宋_GB2312" w:cs="仿宋_GB2312"/>
          <w:kern w:val="2"/>
          <w:sz w:val="32"/>
          <w:szCs w:val="32"/>
          <w:lang w:val="en-US" w:eastAsia="zh-CN" w:bidi="ar-SA"/>
        </w:rPr>
        <w:t>纶、棉纺新材料产业,攻坚各类功能性、高性能合成纤维技术领域。深耕矿产新材料赛道，布局稀土加工产业园，发展稀土永磁、催化、抛光等高端新材料业态。</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专栏6：布局未来产业行动计划</w:t>
      </w:r>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bookmarkStart w:id="55" w:name="_Toc13796"/>
            <w:bookmarkStart w:id="56" w:name="_Toc18258"/>
            <w:bookmarkStart w:id="57" w:name="_Toc7052"/>
            <w:bookmarkStart w:id="58" w:name="_Toc3483"/>
            <w:bookmarkStart w:id="59" w:name="_Toc25278"/>
            <w:bookmarkStart w:id="60" w:name="_Toc17713"/>
            <w:r>
              <w:rPr>
                <w:rFonts w:hint="eastAsia" w:ascii="仿宋_GB2312" w:hAnsi="仿宋_GB2312" w:eastAsia="仿宋_GB2312" w:cs="仿宋_GB2312"/>
                <w:b/>
                <w:bCs/>
                <w:kern w:val="2"/>
                <w:sz w:val="32"/>
                <w:szCs w:val="32"/>
                <w:lang w:val="en-US" w:eastAsia="zh-CN" w:bidi="ar-SA"/>
              </w:rPr>
              <w:t>数据标注产业。</w:t>
            </w:r>
            <w:r>
              <w:rPr>
                <w:rFonts w:hint="eastAsia" w:ascii="仿宋_GB2312" w:hAnsi="仿宋_GB2312" w:eastAsia="仿宋_GB2312" w:cs="仿宋_GB2312"/>
                <w:kern w:val="2"/>
                <w:sz w:val="32"/>
                <w:szCs w:val="32"/>
                <w:lang w:val="zh-CN" w:eastAsia="zh-CN" w:bidi="ar-SA"/>
              </w:rPr>
              <w:t>构建覆盖数据采集、精准标注、高效流通、场景应用全链条的基础数据产业生态。鼓励本地企业</w:t>
            </w:r>
            <w:r>
              <w:rPr>
                <w:rFonts w:hint="eastAsia" w:ascii="仿宋_GB2312" w:hAnsi="仿宋_GB2312" w:eastAsia="仿宋_GB2312" w:cs="仿宋_GB2312"/>
                <w:kern w:val="2"/>
                <w:sz w:val="32"/>
                <w:szCs w:val="32"/>
                <w:lang w:val="en-US" w:eastAsia="zh-CN" w:bidi="ar-SA"/>
              </w:rPr>
              <w:t>联手</w:t>
            </w:r>
            <w:r>
              <w:rPr>
                <w:rFonts w:hint="eastAsia" w:ascii="仿宋_GB2312" w:hAnsi="仿宋_GB2312" w:eastAsia="仿宋_GB2312" w:cs="仿宋_GB2312"/>
                <w:kern w:val="2"/>
                <w:sz w:val="32"/>
                <w:szCs w:val="32"/>
                <w:lang w:val="zh-CN" w:eastAsia="zh-CN" w:bidi="ar-SA"/>
              </w:rPr>
              <w:t>龙头企业开展数据标注、模型训练等人工智能基础服务，培育一批具有</w:t>
            </w:r>
            <w:r>
              <w:rPr>
                <w:rFonts w:hint="eastAsia" w:ascii="仿宋_GB2312" w:hAnsi="仿宋_GB2312" w:eastAsia="仿宋_GB2312" w:cs="仿宋_GB2312"/>
                <w:kern w:val="2"/>
                <w:sz w:val="32"/>
                <w:szCs w:val="32"/>
                <w:lang w:val="en-US" w:eastAsia="zh-CN" w:bidi="ar-SA"/>
              </w:rPr>
              <w:t>尤溪</w:t>
            </w:r>
            <w:r>
              <w:rPr>
                <w:rFonts w:hint="eastAsia" w:ascii="仿宋_GB2312" w:hAnsi="仿宋_GB2312" w:eastAsia="仿宋_GB2312" w:cs="仿宋_GB2312"/>
                <w:kern w:val="2"/>
                <w:sz w:val="32"/>
                <w:szCs w:val="32"/>
                <w:lang w:val="zh-CN" w:eastAsia="zh-CN" w:bidi="ar-SA"/>
              </w:rPr>
              <w:t>特色的数据标注企业。</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b/>
                <w:bCs/>
                <w:kern w:val="2"/>
                <w:sz w:val="32"/>
                <w:szCs w:val="32"/>
                <w:lang w:val="zh-CN" w:eastAsia="zh-CN" w:bidi="ar-SA"/>
              </w:rPr>
              <w:t>综合管理服务大数据中心建设</w:t>
            </w:r>
            <w:r>
              <w:rPr>
                <w:rFonts w:hint="eastAsia" w:ascii="仿宋_GB2312" w:hAnsi="仿宋_GB2312" w:eastAsia="仿宋_GB2312" w:cs="仿宋_GB2312"/>
                <w:b/>
                <w:bCs/>
                <w:kern w:val="2"/>
                <w:sz w:val="32"/>
                <w:szCs w:val="32"/>
                <w:lang w:val="en-US" w:eastAsia="zh-CN" w:bidi="ar-SA"/>
              </w:rPr>
              <w:t>。</w:t>
            </w:r>
            <w:r>
              <w:rPr>
                <w:rFonts w:hint="eastAsia" w:ascii="仿宋_GB2312" w:hAnsi="仿宋_GB2312" w:eastAsia="仿宋_GB2312" w:cs="仿宋_GB2312"/>
                <w:kern w:val="2"/>
                <w:sz w:val="32"/>
                <w:szCs w:val="32"/>
                <w:lang w:val="zh-CN" w:eastAsia="zh-CN" w:bidi="ar-SA"/>
              </w:rPr>
              <w:t>综合管理服务应用平台，多个具体场景应用。内容包括改造综合管理服务大数据中心，研发安装综合管理服务应用平台，研发安装多个具体场景应用（包含旅游、民生服务、平安建设、农业、林业、水利、元宇宙、VR等）及配套设备、给排水、电气、消防等基础设施工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sz w:val="28"/>
                <w:szCs w:val="28"/>
                <w:highlight w:val="none"/>
              </w:rPr>
            </w:pPr>
            <w:r>
              <w:rPr>
                <w:rFonts w:hint="eastAsia" w:ascii="仿宋_GB2312" w:hAnsi="仿宋_GB2312" w:eastAsia="仿宋_GB2312" w:cs="仿宋_GB2312"/>
                <w:b/>
                <w:bCs/>
                <w:kern w:val="2"/>
                <w:sz w:val="32"/>
                <w:szCs w:val="32"/>
                <w:lang w:val="en-US" w:eastAsia="zh-CN" w:bidi="ar-SA"/>
              </w:rPr>
              <w:t>新材料产业延链强链行动。</w:t>
            </w:r>
            <w:r>
              <w:rPr>
                <w:rFonts w:hint="eastAsia" w:ascii="仿宋_GB2312" w:hAnsi="仿宋_GB2312" w:eastAsia="仿宋_GB2312" w:cs="仿宋_GB2312"/>
                <w:kern w:val="2"/>
                <w:sz w:val="32"/>
                <w:szCs w:val="32"/>
                <w:lang w:val="en-US" w:eastAsia="zh-CN" w:bidi="ar-SA"/>
              </w:rPr>
              <w:t>依托上海研发飞地，支持链主企业实现从“一根丝到一件衣”的垂直一体化升级；积极对接上海企业资源，合作开发氧化锌、高纯石英硅等材料在电子元器件、环保吸附材料等领域的高端应用；依托上海技术交易所（三明）科创工作站，建设矿产新材料性能检测与认证平台，提升材料标准化与市场化能力；统筹规划建设稀土加工产业园，强化特色资源转化与高值化利用。</w:t>
            </w:r>
          </w:p>
        </w:tc>
      </w:tr>
      <w:bookmarkEnd w:id="55"/>
      <w:bookmarkEnd w:id="56"/>
      <w:bookmarkEnd w:id="57"/>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61" w:name="_Toc23827"/>
      <w:r>
        <w:rPr>
          <w:rFonts w:hint="default" w:ascii="黑体" w:hAnsi="黑体" w:eastAsia="黑体" w:cs="黑体"/>
          <w:b w:val="0"/>
          <w:bCs/>
          <w:snapToGrid w:val="0"/>
          <w:color w:val="auto"/>
          <w:szCs w:val="32"/>
          <w:highlight w:val="none"/>
        </w:rPr>
        <w:t>第四节 推动现代服务业高质量升级</w:t>
      </w:r>
      <w:bookmarkEnd w:id="61"/>
    </w:p>
    <w:p>
      <w:pPr>
        <w:keepNext w:val="0"/>
        <w:keepLines w:val="0"/>
        <w:pageBreakBefore w:val="0"/>
        <w:kinsoku/>
        <w:wordWrap/>
        <w:topLinePunct w:val="0"/>
        <w:autoSpaceDE/>
        <w:autoSpaceDN/>
        <w:bidi w:val="0"/>
        <w:adjustRightInd/>
        <w:snapToGrid/>
        <w:spacing w:line="560" w:lineRule="exact"/>
        <w:ind w:firstLine="643"/>
        <w:textAlignment w:val="auto"/>
        <w:rPr>
          <w:rFonts w:hint="default" w:ascii="方正仿宋_GB2312" w:hAnsi="方正仿宋_GB2312" w:eastAsia="方正仿宋_GB2312" w:cs="方正仿宋_GB2312"/>
          <w:snapToGrid w:val="0"/>
          <w:color w:val="auto"/>
          <w:szCs w:val="32"/>
          <w:highlight w:val="none"/>
          <w:lang w:val="en-US" w:eastAsia="zh-CN"/>
        </w:rPr>
      </w:pPr>
      <w:r>
        <w:rPr>
          <w:rFonts w:hint="default" w:ascii="仿宋_GB2312" w:hAnsi="仿宋_GB2312" w:eastAsia="仿宋_GB2312" w:cs="仿宋_GB2312"/>
          <w:kern w:val="2"/>
          <w:sz w:val="32"/>
          <w:szCs w:val="32"/>
          <w:lang w:val="en-US" w:eastAsia="zh-CN" w:bidi="ar-SA"/>
        </w:rPr>
        <w:t>紧扣全县经济社会发展总体部署，立足区位优势和产业特色，以创新驱动、产业融合、品牌引领、绿色发展为抓手，聚力构建优质高效、活力充盈、特色鲜明的现代服务业体系，推动现代服务业与先进制造业、现代农业深度融合，促进三次产业协同提质增效，持续提升服务业经济贡献度，筑牢县域高质量发展服务支撑。力争到2030年，第三产业增加值占比达到50%。</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推动生产性服务业向专业化高端化跃升。</w:t>
      </w:r>
      <w:r>
        <w:rPr>
          <w:rFonts w:hint="eastAsia" w:ascii="仿宋_GB2312" w:hAnsi="仿宋_GB2312" w:eastAsia="仿宋_GB2312" w:cs="仿宋_GB2312"/>
          <w:kern w:val="2"/>
          <w:sz w:val="32"/>
          <w:szCs w:val="32"/>
          <w:lang w:val="en-US" w:eastAsia="zh-CN" w:bidi="ar-SA"/>
        </w:rPr>
        <w:t>聚焦现代物流、现代金融、数字文旅三大领域，以专业化提质、高端化赋能为核心，夯实生产性服务业发展基础。依托平台支撑、电商赋能、品牌引领，深化多产业跨界融合，全面提升生产性服务业服务实体经济的核心效能。</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eastAsia" w:ascii="楷体_GB2312" w:hAnsi="楷体_GB2312" w:eastAsia="楷体_GB2312" w:cs="楷体_GB2312"/>
          <w:b/>
          <w:bCs/>
          <w:kern w:val="2"/>
          <w:sz w:val="32"/>
          <w:szCs w:val="32"/>
          <w:lang w:val="en-US" w:eastAsia="zh-CN" w:bidi="ar-SA"/>
        </w:rPr>
        <w:t>聚力做强“枢纽经济”，畅通流通物流链条。</w:t>
      </w:r>
      <w:r>
        <w:rPr>
          <w:rFonts w:hint="eastAsia" w:ascii="仿宋_GB2312" w:hAnsi="仿宋_GB2312" w:eastAsia="仿宋_GB2312" w:cs="仿宋_GB2312"/>
          <w:kern w:val="2"/>
          <w:sz w:val="32"/>
          <w:szCs w:val="32"/>
          <w:lang w:val="en-US" w:eastAsia="zh-CN" w:bidi="ar-SA"/>
        </w:rPr>
        <w:t>依托三明港尤溪港区西滨作业区、雍口作业区，建成千吨级泊位</w:t>
      </w:r>
      <w:r>
        <w:rPr>
          <w:rFonts w:hint="default" w:ascii="仿宋_GB2312" w:hAnsi="仿宋_GB2312" w:eastAsia="仿宋_GB2312" w:cs="仿宋_GB2312"/>
          <w:kern w:val="2"/>
          <w:sz w:val="32"/>
          <w:szCs w:val="32"/>
          <w:lang w:val="en-US" w:eastAsia="zh-CN" w:bidi="ar-SA"/>
        </w:rPr>
        <w:t>6个，年吞吐能力474万吨，</w:t>
      </w:r>
      <w:r>
        <w:rPr>
          <w:rFonts w:hint="eastAsia" w:ascii="仿宋_GB2312" w:hAnsi="仿宋_GB2312" w:eastAsia="仿宋_GB2312" w:cs="仿宋_GB2312"/>
          <w:kern w:val="2"/>
          <w:sz w:val="32"/>
          <w:szCs w:val="32"/>
          <w:lang w:val="en-US" w:eastAsia="zh-CN" w:bidi="ar-SA"/>
        </w:rPr>
        <w:t>打造闽江内河航运枢纽。提速建设尤溪玉池物流园，集成仓储冷链、保税物流、跨境电商功能，构筑区域性商品集散中心，搭建多式联运信息平台，衔接工贸供应链与农业产销链，持续压降社会物流成本。</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eastAsia" w:ascii="楷体_GB2312" w:hAnsi="楷体_GB2312" w:eastAsia="楷体_GB2312" w:cs="楷体_GB2312"/>
          <w:b/>
          <w:bCs/>
          <w:kern w:val="2"/>
          <w:sz w:val="32"/>
          <w:szCs w:val="32"/>
          <w:lang w:val="en-US" w:eastAsia="zh-CN" w:bidi="ar-SA"/>
        </w:rPr>
        <w:t>聚力深化金融赋能，激活产业发展功能。</w:t>
      </w:r>
      <w:r>
        <w:rPr>
          <w:rFonts w:hint="eastAsia" w:ascii="仿宋_GB2312" w:hAnsi="仿宋_GB2312" w:eastAsia="仿宋_GB2312" w:cs="仿宋_GB2312"/>
          <w:kern w:val="2"/>
          <w:sz w:val="32"/>
          <w:szCs w:val="32"/>
          <w:lang w:val="en-US" w:eastAsia="zh-CN" w:bidi="ar-SA"/>
        </w:rPr>
        <w:t>设立县级产业发展基金，扶持新兴产业、现代农业及农产品精深加工项目。精准引进各类金融机构，科创、专精特新、碳中和等特色信贷产品；搭建“尤溪金服云”平台，归集政务大数据，实现企业授信、风险预警一体化，提升中小微企业首贷覆盖率。</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聚力夯实配套载体，完善产业服务体系。</w:t>
      </w:r>
      <w:r>
        <w:rPr>
          <w:rFonts w:hint="eastAsia" w:ascii="仿宋_GB2312" w:hAnsi="仿宋_GB2312" w:eastAsia="仿宋_GB2312" w:cs="仿宋_GB2312"/>
          <w:kern w:val="2"/>
          <w:sz w:val="32"/>
          <w:szCs w:val="32"/>
          <w:lang w:val="en-US" w:eastAsia="zh-CN" w:bidi="ar-SA"/>
        </w:rPr>
        <w:t>深化两业融合发展，推动竹木、纺织、矿产等龙头企业向服务型制造转型，培育定制服务、全周期运维等新业态。延伸农业服务链条，壮大总部经济、广告文创产业，建成闽中边缘计算中心，为平台经济、智慧文旅、智慧物流提供云端算力支撑，以数字技术赋能企业提质增效。深耕电商示范创建，壮大农村电商业态，构建县域电商产业生态，依托跨境电商综试区拓宽外销通道。规范县域公共品牌标准，健全一品一码溯源体系，打造全域直播矩阵，实现品牌价值与市场效益同步提升。</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推动生活性服务业向品质化多样化拓展。</w:t>
      </w:r>
      <w:r>
        <w:rPr>
          <w:rFonts w:hint="eastAsia" w:ascii="仿宋_GB2312" w:hAnsi="仿宋_GB2312" w:eastAsia="仿宋_GB2312" w:cs="仿宋_GB2312"/>
          <w:kern w:val="2"/>
          <w:sz w:val="32"/>
          <w:szCs w:val="32"/>
          <w:lang w:val="en-US" w:eastAsia="zh-CN" w:bidi="ar-SA"/>
        </w:rPr>
        <w:t>立足生态禀赋与人文底蕴，以朱子赋能、康养筑基、商贸提质、消费升级为导向，紧扣群众美好生活需求，推动生活性服务业与文化、生态、数字深度融合，丰富优质服务供给，提升全域服务品质，构建覆盖城乡、便捷高效、特色鲜明的生活性服务业发展体系。</w:t>
      </w:r>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eastAsia" w:ascii="楷体_GB2312" w:hAnsi="楷体_GB2312" w:eastAsia="楷体_GB2312" w:cs="楷体_GB2312"/>
          <w:b/>
          <w:bCs/>
          <w:kern w:val="2"/>
          <w:sz w:val="32"/>
          <w:szCs w:val="32"/>
          <w:lang w:val="en-US" w:eastAsia="zh-CN" w:bidi="ar-SA"/>
        </w:rPr>
        <w:t>聚力升级智慧文旅，激活文旅消费潜力。</w:t>
      </w:r>
      <w:r>
        <w:rPr>
          <w:rFonts w:hint="eastAsia" w:ascii="仿宋_GB2312" w:hAnsi="仿宋_GB2312" w:eastAsia="仿宋_GB2312" w:cs="仿宋_GB2312"/>
          <w:kern w:val="2"/>
          <w:sz w:val="32"/>
          <w:szCs w:val="32"/>
          <w:lang w:val="en-US" w:eastAsia="zh-CN" w:bidi="ar-SA"/>
        </w:rPr>
        <w:t>深耕数字文旅转型，持续擦亮“我家在景区”金字招牌，完善“快进慢游”旅游交通体系，培育低空旅游、数字体验、康养旅居等新业态，全域推进景区数字化改造，将古溪星河、侠天下、桂峰等打造为智慧文旅康养集聚区，深化“文旅+”融合发展。搭建全域智慧文旅中枢，构建全域旅游管理“一张图”，整合朱子文化园等核心景区，联合梯田等产业节点，两茶产业基地、笋竹等加工园区，实现文旅资源数字化呈现。培育朱子文化数字</w:t>
      </w:r>
      <w:r>
        <w:rPr>
          <w:rFonts w:hint="default" w:ascii="仿宋_GB2312" w:hAnsi="仿宋_GB2312" w:eastAsia="仿宋_GB2312" w:cs="仿宋_GB2312"/>
          <w:kern w:val="2"/>
          <w:sz w:val="32"/>
          <w:szCs w:val="32"/>
          <w:lang w:val="en-US" w:eastAsia="zh-CN" w:bidi="ar-SA"/>
        </w:rPr>
        <w:t>IP，</w:t>
      </w:r>
      <w:r>
        <w:rPr>
          <w:rFonts w:hint="eastAsia" w:ascii="仿宋_GB2312" w:hAnsi="仿宋_GB2312" w:eastAsia="仿宋_GB2312" w:cs="仿宋_GB2312"/>
          <w:kern w:val="2"/>
          <w:sz w:val="32"/>
          <w:szCs w:val="32"/>
          <w:lang w:val="en-US" w:eastAsia="zh-CN" w:bidi="ar-SA"/>
        </w:rPr>
        <w:t>打造元宇宙体验场景，建设典籍数字化展示系统。创新全域数字营销，深化平台流量合作，发展“旅游+直播+电商”模式，推动流量高效转化。</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聚力深耕生态康养，健全养老服务体系。</w:t>
      </w:r>
      <w:r>
        <w:rPr>
          <w:rFonts w:hint="eastAsia" w:ascii="仿宋_GB2312" w:hAnsi="仿宋_GB2312" w:eastAsia="仿宋_GB2312" w:cs="仿宋_GB2312"/>
          <w:kern w:val="2"/>
          <w:sz w:val="32"/>
          <w:szCs w:val="32"/>
          <w:lang w:val="en-US" w:eastAsia="zh-CN" w:bidi="ar-SA"/>
        </w:rPr>
        <w:t>依托优良生态和特色文旅资源，整合医疗、康复、养老业态，打造旅居康养、修心疗愈、气候福地等特色品牌。集聚高端医疗资源，建设省级区域医疗中心、互联网医院，全面提升县域医疗服务能级。统筹全域养老服务资源，完善居家、社区、机构协同发展与医养康养深度融合的现代化养老服务体系。</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聚力做优特色美食，培育消费新场景。</w:t>
      </w:r>
      <w:r>
        <w:rPr>
          <w:rFonts w:hint="eastAsia" w:ascii="仿宋_GB2312" w:hAnsi="仿宋_GB2312" w:eastAsia="仿宋_GB2312" w:cs="仿宋_GB2312"/>
          <w:kern w:val="2"/>
          <w:sz w:val="32"/>
          <w:szCs w:val="32"/>
          <w:lang w:val="en-US" w:eastAsia="zh-CN" w:bidi="ar-SA"/>
        </w:rPr>
        <w:t>依托三明市“海峡两岸小吃文化交流基地”优势，优化水岸业态布局，打造夜间景观、餐饮娱乐、休闲观光融合业态；打造中心商圈夜间经济，塑造特色消费</w:t>
      </w:r>
      <w:r>
        <w:rPr>
          <w:rFonts w:hint="default" w:ascii="仿宋_GB2312" w:hAnsi="仿宋_GB2312" w:eastAsia="仿宋_GB2312" w:cs="仿宋_GB2312"/>
          <w:kern w:val="2"/>
          <w:sz w:val="32"/>
          <w:szCs w:val="32"/>
          <w:lang w:val="en-US" w:eastAsia="zh-CN" w:bidi="ar-SA"/>
        </w:rPr>
        <w:t>IP，</w:t>
      </w:r>
      <w:r>
        <w:rPr>
          <w:rFonts w:hint="eastAsia" w:ascii="仿宋_GB2312" w:hAnsi="仿宋_GB2312" w:eastAsia="仿宋_GB2312" w:cs="仿宋_GB2312"/>
          <w:kern w:val="2"/>
          <w:sz w:val="32"/>
          <w:szCs w:val="32"/>
          <w:lang w:val="en-US" w:eastAsia="zh-CN" w:bidi="ar-SA"/>
        </w:rPr>
        <w:t>培育文创、非遗、网红打卡等多元场景。融入三明小吃食品产业链，推进原料规模化、产业化发展，建设种养加工销售一体化基地。活化朱子家宴等非遗美食，打造特色美食街区和湾乡创乡建美食创意基地，常态化举办朱子美食嘉年华、草根音乐汇等文旅节庆活动，形成县域特色美食品牌矩阵。力争到</w:t>
      </w:r>
      <w:r>
        <w:rPr>
          <w:rFonts w:hint="default" w:ascii="仿宋_GB2312" w:hAnsi="仿宋_GB2312" w:eastAsia="仿宋_GB2312" w:cs="仿宋_GB2312"/>
          <w:kern w:val="2"/>
          <w:sz w:val="32"/>
          <w:szCs w:val="32"/>
          <w:lang w:val="en-US" w:eastAsia="zh-CN" w:bidi="ar-SA"/>
        </w:rPr>
        <w:t>2030年，</w:t>
      </w:r>
      <w:r>
        <w:rPr>
          <w:rFonts w:hint="eastAsia" w:ascii="仿宋_GB2312" w:hAnsi="仿宋_GB2312" w:eastAsia="仿宋_GB2312" w:cs="仿宋_GB2312"/>
          <w:kern w:val="2"/>
          <w:sz w:val="32"/>
          <w:szCs w:val="32"/>
          <w:lang w:val="en-US" w:eastAsia="zh-CN" w:bidi="ar-SA"/>
        </w:rPr>
        <w:t>“小吃+”产业产值突破</w:t>
      </w:r>
      <w:r>
        <w:rPr>
          <w:rFonts w:hint="default" w:ascii="仿宋_GB2312" w:hAnsi="仿宋_GB2312" w:eastAsia="仿宋_GB2312" w:cs="仿宋_GB2312"/>
          <w:kern w:val="2"/>
          <w:sz w:val="32"/>
          <w:szCs w:val="32"/>
          <w:lang w:val="en-US" w:eastAsia="zh-CN" w:bidi="ar-SA"/>
        </w:rPr>
        <w:t>12亿元，建成标准化、产业化、智慧化的小吃产业集群。</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聚力提质品质商贸，完善便民服务网络。</w:t>
      </w:r>
      <w:r>
        <w:rPr>
          <w:rFonts w:hint="eastAsia" w:ascii="仿宋_GB2312" w:hAnsi="仿宋_GB2312" w:eastAsia="仿宋_GB2312" w:cs="仿宋_GB2312"/>
          <w:kern w:val="2"/>
          <w:sz w:val="32"/>
          <w:szCs w:val="32"/>
          <w:lang w:val="en-US" w:eastAsia="zh-CN" w:bidi="ar-SA"/>
        </w:rPr>
        <w:t>优化城区商业网点布局，升级中心城区商圈，建设三奎商贸综合市场、火车站商贸中心等综合性商贸服务载体；分类完善专业市场体系，有序布局西城水果、中药材、土特产品等农产品批发市场，东城建材、汽车等工业品批发市场，各乡镇农产品集散中心；培育新零售、体验式消费业态，布局文旅、站前商业综合体，完善城市一刻钟便民生活圈。推动小微商贸主体数字化转型，畅通工业品下乡、农产品进城双向流通渠道，全面激活城乡商贸经济活力。</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bookmarkStart w:id="62" w:name="_Toc2703"/>
      <w:r>
        <w:rPr>
          <w:rFonts w:hint="default" w:ascii="楷体_GB2312" w:hAnsi="楷体_GB2312" w:eastAsia="楷体_GB2312" w:cs="楷体_GB2312"/>
          <w:b/>
          <w:bCs/>
          <w:kern w:val="2"/>
          <w:sz w:val="32"/>
          <w:szCs w:val="32"/>
          <w:lang w:val="en-US" w:eastAsia="zh-CN" w:bidi="ar-SA"/>
        </w:rPr>
        <w:t>专栏7：</w:t>
      </w:r>
      <w:bookmarkEnd w:id="62"/>
      <w:r>
        <w:rPr>
          <w:rFonts w:hint="default" w:ascii="楷体_GB2312" w:hAnsi="楷体_GB2312" w:eastAsia="楷体_GB2312" w:cs="楷体_GB2312"/>
          <w:b/>
          <w:bCs/>
          <w:kern w:val="2"/>
          <w:sz w:val="32"/>
          <w:szCs w:val="32"/>
          <w:lang w:val="en-US" w:eastAsia="zh-CN" w:bidi="ar-SA"/>
        </w:rPr>
        <w:t>现代商贸业发展行动</w:t>
      </w:r>
    </w:p>
    <w:tbl>
      <w:tblPr>
        <w:tblStyle w:val="1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7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数字底座建设。</w:t>
            </w:r>
            <w:r>
              <w:rPr>
                <w:rFonts w:hint="eastAsia" w:ascii="仿宋_GB2312" w:hAnsi="仿宋_GB2312" w:eastAsia="仿宋_GB2312" w:cs="仿宋_GB2312"/>
                <w:kern w:val="2"/>
                <w:sz w:val="32"/>
                <w:szCs w:val="32"/>
                <w:lang w:val="en-US" w:eastAsia="zh-CN" w:bidi="ar-SA"/>
              </w:rPr>
              <w:t>一是构建“尤溪数字商务大脑”，强化产业分析与决策支撑能力。二是推进5G—A网络与千兆光网向重点乡镇、产业园区及农业生产区（如茶园、食用菌基地）延伸覆盖。三是在桂峰村、联合梯田等文旅核心节点部署“5G+物联网”监测设备，赋能智慧旅游、高清直播与数字化服务。</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升级闽中电商产业园公共仓储中心。</w:t>
            </w:r>
            <w:r>
              <w:rPr>
                <w:rFonts w:hint="eastAsia" w:ascii="仿宋_GB2312" w:hAnsi="仿宋_GB2312" w:eastAsia="仿宋_GB2312" w:cs="仿宋_GB2312"/>
                <w:kern w:val="2"/>
                <w:sz w:val="32"/>
                <w:szCs w:val="32"/>
                <w:lang w:val="en-US" w:eastAsia="zh-CN" w:bidi="ar-SA"/>
              </w:rPr>
              <w:t>推进县级冷链物流园建设，完善乡镇物流节点布局；强化与邮政、顺丰等企业合作，持续优化“村邮站+电商服务点”融合发展模式。</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“熹宝尤礼”公共品牌建设。</w:t>
            </w:r>
            <w:r>
              <w:rPr>
                <w:rFonts w:hint="eastAsia" w:ascii="仿宋_GB2312" w:hAnsi="仿宋_GB2312" w:eastAsia="仿宋_GB2312" w:cs="仿宋_GB2312"/>
                <w:kern w:val="2"/>
                <w:sz w:val="32"/>
                <w:szCs w:val="32"/>
                <w:lang w:val="en-US" w:eastAsia="zh-CN" w:bidi="ar-SA"/>
              </w:rPr>
              <w:t>完善“一品一码”溯源体系；引进上海文创设计团队，提升“熹宝尤礼”品牌包装与产品创意；打造“产地直播矩阵”，举办“尤礼丰收季”系列直播活动。建设“尤溪纺织新材料”“竹木家居”线上专区，推广柔性定制、批量采购模式。</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开发“数字文旅+电商”场景。</w:t>
            </w:r>
            <w:r>
              <w:rPr>
                <w:rFonts w:hint="eastAsia" w:ascii="仿宋_GB2312" w:hAnsi="仿宋_GB2312" w:eastAsia="仿宋_GB2312" w:cs="仿宋_GB2312"/>
                <w:kern w:val="2"/>
                <w:sz w:val="32"/>
                <w:szCs w:val="32"/>
                <w:lang w:val="en-US" w:eastAsia="zh-CN" w:bidi="ar-SA"/>
              </w:rPr>
              <w:t>在朱子文化园、南溪书院上线虚拟研学体验课程，配套销售文创产品；依托桂峰村“晒秋”IP，打造“直播赏景+农产带货”一体化模式。</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建设跨境电商专用仓库。</w:t>
            </w:r>
            <w:r>
              <w:rPr>
                <w:rFonts w:hint="eastAsia" w:ascii="仿宋_GB2312" w:hAnsi="仿宋_GB2312" w:eastAsia="仿宋_GB2312" w:cs="仿宋_GB2312"/>
                <w:kern w:val="2"/>
                <w:sz w:val="32"/>
                <w:szCs w:val="32"/>
                <w:lang w:val="en-US" w:eastAsia="zh-CN" w:bidi="ar-SA"/>
              </w:rPr>
              <w:t>聚焦竹木家居、工艺制品等优势品类，建设跨境电商专用仓库。在厦门、泉州跨境电商综试区设立“尤溪专区”；借助山海协作，对接泉州石狮、厦门湖里等沿海地区，共享跨境物流与报关资源。</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开展跨境电商合规培训。</w:t>
            </w:r>
            <w:r>
              <w:rPr>
                <w:rFonts w:hint="eastAsia" w:ascii="仿宋_GB2312" w:hAnsi="仿宋_GB2312" w:eastAsia="仿宋_GB2312" w:cs="仿宋_GB2312"/>
                <w:kern w:val="2"/>
                <w:sz w:val="32"/>
                <w:szCs w:val="32"/>
                <w:lang w:val="en-US" w:eastAsia="zh-CN" w:bidi="ar-SA"/>
              </w:rPr>
              <w:t>培育3—5个跨境知名品牌，重点突破欧美家居、户外用品市场。</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数字商务协作项目。</w:t>
            </w:r>
            <w:r>
              <w:rPr>
                <w:rFonts w:hint="eastAsia" w:ascii="仿宋_GB2312" w:hAnsi="仿宋_GB2312" w:eastAsia="仿宋_GB2312" w:cs="仿宋_GB2312"/>
                <w:kern w:val="2"/>
                <w:sz w:val="32"/>
                <w:szCs w:val="32"/>
                <w:lang w:val="en-US" w:eastAsia="zh-CN" w:bidi="ar-SA"/>
              </w:rPr>
              <w:t>积极对接上海B站、美团等电商资源，设立“尤溪特色馆”，推动特色产品线上推广与销售。联合泉州、厦门等地共建“电商产业协作联盟”，加强沙县、永安等周边县（市）联动，共同打造“闽中数字商务走廊”，提升区域电商协同发展能力。</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尤溪县玉池物流园及配套设施。</w:t>
            </w:r>
            <w:r>
              <w:rPr>
                <w:rFonts w:hint="eastAsia" w:ascii="仿宋_GB2312" w:hAnsi="仿宋_GB2312" w:eastAsia="仿宋_GB2312" w:cs="仿宋_GB2312"/>
                <w:kern w:val="2"/>
                <w:sz w:val="32"/>
                <w:szCs w:val="32"/>
                <w:lang w:val="en-US" w:eastAsia="zh-CN" w:bidi="ar-SA"/>
              </w:rPr>
              <w:t>在西城镇玉池村建设综合性物流园，建设现代化仓储、冷链配送、能源补给及配套服务设施，提升区域物流效率与服务水平。</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尤溪县农产品批发市场建设项目。</w:t>
            </w:r>
            <w:r>
              <w:rPr>
                <w:rFonts w:hint="eastAsia" w:ascii="仿宋_GB2312" w:hAnsi="仿宋_GB2312" w:eastAsia="仿宋_GB2312" w:cs="仿宋_GB2312"/>
                <w:kern w:val="2"/>
                <w:sz w:val="32"/>
                <w:szCs w:val="32"/>
                <w:lang w:val="en-US" w:eastAsia="zh-CN" w:bidi="ar-SA"/>
              </w:rPr>
              <w:t>建设蔬菜、水果、水海产品等三个批发区，配套建设保鲜中转仓，解决县城现有早市脏、乱、差现象，进一步规范农产品流通。</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智慧文旅升级工程。</w:t>
            </w:r>
            <w:r>
              <w:rPr>
                <w:rFonts w:hint="eastAsia" w:ascii="仿宋_GB2312" w:hAnsi="仿宋_GB2312" w:eastAsia="仿宋_GB2312" w:cs="仿宋_GB2312"/>
                <w:kern w:val="2"/>
                <w:sz w:val="32"/>
                <w:szCs w:val="32"/>
                <w:lang w:val="en-US" w:eastAsia="zh-CN" w:bidi="ar-SA"/>
              </w:rPr>
              <w:t>推进</w:t>
            </w:r>
            <w:r>
              <w:rPr>
                <w:rFonts w:hint="eastAsia" w:ascii="仿宋_GB2312" w:hAnsi="仿宋_GB2312" w:eastAsia="仿宋_GB2312" w:cs="仿宋_GB2312"/>
                <w:kern w:val="2"/>
                <w:sz w:val="32"/>
                <w:szCs w:val="32"/>
                <w:lang w:val="zh-CN" w:eastAsia="zh-CN" w:bidi="ar-SA"/>
              </w:rPr>
              <w:t>“闽心尤溪”智慧旅游平台项目</w:t>
            </w:r>
            <w:r>
              <w:rPr>
                <w:rFonts w:hint="eastAsia" w:ascii="仿宋_GB2312" w:hAnsi="仿宋_GB2312" w:eastAsia="仿宋_GB2312" w:cs="仿宋_GB2312"/>
                <w:kern w:val="2"/>
                <w:sz w:val="32"/>
                <w:szCs w:val="32"/>
                <w:lang w:val="en-US" w:eastAsia="zh-CN" w:bidi="ar-SA"/>
              </w:rPr>
              <w:t>建设</w:t>
            </w:r>
            <w:r>
              <w:rPr>
                <w:rFonts w:hint="eastAsia" w:ascii="仿宋_GB2312" w:hAnsi="仿宋_GB2312" w:eastAsia="仿宋_GB2312" w:cs="仿宋_GB2312"/>
                <w:kern w:val="2"/>
                <w:sz w:val="32"/>
                <w:szCs w:val="32"/>
                <w:lang w:val="zh-CN" w:eastAsia="zh-CN" w:bidi="ar-SA"/>
              </w:rPr>
              <w:t>。</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朱子非遗美食文化区。</w:t>
            </w:r>
            <w:r>
              <w:rPr>
                <w:rFonts w:hint="eastAsia" w:ascii="仿宋_GB2312" w:hAnsi="仿宋_GB2312" w:eastAsia="仿宋_GB2312" w:cs="仿宋_GB2312"/>
                <w:kern w:val="2"/>
                <w:sz w:val="32"/>
                <w:szCs w:val="32"/>
                <w:lang w:val="en-US" w:eastAsia="zh-CN" w:bidi="ar-SA"/>
              </w:rPr>
              <w:t>小吃食品原料产业；特色食品三产融合示范园；朱子美食夜市；台湾乡创乡建美食创意基地。</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cs="Times New Roman"/>
                <w:color w:val="auto"/>
                <w:highlight w:val="none"/>
              </w:rPr>
            </w:pPr>
            <w:r>
              <w:rPr>
                <w:rFonts w:hint="eastAsia" w:ascii="仿宋_GB2312" w:hAnsi="仿宋_GB2312" w:eastAsia="仿宋_GB2312" w:cs="仿宋_GB2312"/>
                <w:b/>
                <w:bCs/>
                <w:kern w:val="2"/>
                <w:sz w:val="32"/>
                <w:szCs w:val="32"/>
                <w:lang w:val="en-US" w:eastAsia="zh-CN" w:bidi="ar-SA"/>
              </w:rPr>
              <w:t>中心城区商务区改造。</w:t>
            </w:r>
            <w:r>
              <w:rPr>
                <w:rFonts w:hint="eastAsia" w:ascii="仿宋_GB2312" w:hAnsi="仿宋_GB2312" w:eastAsia="仿宋_GB2312" w:cs="仿宋_GB2312"/>
                <w:kern w:val="2"/>
                <w:sz w:val="32"/>
                <w:szCs w:val="32"/>
                <w:lang w:val="en-US" w:eastAsia="zh-CN" w:bidi="ar-SA"/>
              </w:rPr>
              <w:t>三奎商贸综合市场、火车站商贸中心、专业市场建设、乡镇农产品集散中心、景区休闲旅游型综合体。</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63" w:name="_Toc24856"/>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r>
        <w:rPr>
          <w:rFonts w:hint="default" w:ascii="黑体" w:hAnsi="黑体" w:eastAsia="黑体" w:cs="黑体"/>
          <w:b w:val="0"/>
          <w:bCs/>
          <w:snapToGrid w:val="0"/>
          <w:color w:val="auto"/>
          <w:szCs w:val="32"/>
          <w:highlight w:val="none"/>
        </w:rPr>
        <w:t xml:space="preserve">第五节 </w:t>
      </w:r>
      <w:bookmarkEnd w:id="58"/>
      <w:bookmarkEnd w:id="59"/>
      <w:bookmarkEnd w:id="60"/>
      <w:r>
        <w:rPr>
          <w:rFonts w:hint="default" w:ascii="黑体" w:hAnsi="黑体" w:eastAsia="黑体" w:cs="黑体"/>
          <w:b w:val="0"/>
          <w:bCs/>
          <w:snapToGrid w:val="0"/>
          <w:color w:val="auto"/>
          <w:szCs w:val="32"/>
          <w:highlight w:val="none"/>
        </w:rPr>
        <w:t>做强现代农业攀升富民层级</w:t>
      </w:r>
      <w:bookmarkEnd w:id="63"/>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深度融入科技创新、产业融合、绿色发展理念，系统重塑现代农业发展体系，破解农业链条偏短、附加值低、抗风险弱等短板，培育核心竞争力突出的现代农业产业集群，推动县域由“农业大县”向“农业富县”跃升。</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聚力数智赋能，打造科技兴农样板。</w:t>
      </w:r>
      <w:r>
        <w:rPr>
          <w:rFonts w:hint="eastAsia" w:ascii="仿宋_GB2312" w:hAnsi="仿宋_GB2312" w:eastAsia="仿宋_GB2312" w:cs="仿宋_GB2312"/>
          <w:kern w:val="2"/>
          <w:sz w:val="32"/>
          <w:szCs w:val="32"/>
          <w:lang w:val="en-US" w:eastAsia="zh-CN" w:bidi="ar-SA"/>
        </w:rPr>
        <w:t>抢抓数字经济风口，推动“产业大脑”下沉农业领域。搭建“尤溪智慧农业云平台”，构建主导农产品全链条数字化管控体系。立足茶叶、金柑、油茶、优质稻米、特色食用菌等优势产区，落地数字农场场景，迭代升级智慧农业基地。探索“</w:t>
      </w:r>
      <w:r>
        <w:rPr>
          <w:rFonts w:hint="default" w:ascii="仿宋_GB2312" w:hAnsi="仿宋_GB2312" w:eastAsia="仿宋_GB2312" w:cs="仿宋_GB2312"/>
          <w:kern w:val="2"/>
          <w:sz w:val="32"/>
          <w:szCs w:val="32"/>
          <w:lang w:val="en-US" w:eastAsia="zh-CN" w:bidi="ar-SA"/>
        </w:rPr>
        <w:t>5G+</w:t>
      </w:r>
      <w:r>
        <w:rPr>
          <w:rFonts w:hint="eastAsia" w:ascii="仿宋_GB2312" w:hAnsi="仿宋_GB2312" w:eastAsia="仿宋_GB2312" w:cs="仿宋_GB2312"/>
          <w:kern w:val="2"/>
          <w:sz w:val="32"/>
          <w:szCs w:val="32"/>
          <w:lang w:val="en-US" w:eastAsia="zh-CN" w:bidi="ar-SA"/>
        </w:rPr>
        <w:t>区块链”溯源应用，实现“尤溪生态笋”“尤溪金柑”等区域公用品牌农产品全程可溯，持续提升品牌公信力和市场溢价。力争</w:t>
      </w:r>
      <w:r>
        <w:rPr>
          <w:rFonts w:hint="default" w:ascii="仿宋_GB2312" w:hAnsi="仿宋_GB2312" w:eastAsia="仿宋_GB2312" w:cs="仿宋_GB2312"/>
          <w:kern w:val="2"/>
          <w:sz w:val="32"/>
          <w:szCs w:val="32"/>
          <w:lang w:val="en-US" w:eastAsia="zh-CN" w:bidi="ar-SA"/>
        </w:rPr>
        <w:t>2030年，建成省级及以上数字农业示范基地2个以上。</w:t>
      </w:r>
    </w:p>
    <w:p>
      <w:pPr>
        <w:keepNext w:val="0"/>
        <w:keepLines w:val="0"/>
        <w:pageBreakBefore w:val="0"/>
        <w:widowControl/>
        <w:suppressLineNumbers w:val="0"/>
        <w:kinsoku/>
        <w:wordWrap w:val="0"/>
        <w:overflowPunct/>
        <w:topLinePunct/>
        <w:autoSpaceDE/>
        <w:autoSpaceDN/>
        <w:bidi w:val="0"/>
        <w:adjustRightInd/>
        <w:snapToGrid/>
        <w:spacing w:line="560" w:lineRule="exact"/>
        <w:jc w:val="both"/>
        <w:textAlignment w:val="auto"/>
        <w:rPr>
          <w:rFonts w:hint="default"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聚力精深加工，延伸农业价值链条。</w:t>
      </w:r>
      <w:r>
        <w:rPr>
          <w:rFonts w:hint="eastAsia" w:ascii="仿宋_GB2312" w:hAnsi="仿宋_GB2312" w:eastAsia="仿宋_GB2312" w:cs="仿宋_GB2312"/>
          <w:kern w:val="2"/>
          <w:sz w:val="32"/>
          <w:szCs w:val="32"/>
          <w:lang w:val="en-US" w:eastAsia="zh-CN" w:bidi="ar-SA"/>
        </w:rPr>
        <w:t>依托“五好两宜”和美乡村试点，布局洋中镇、西滨镇市级食用菌科技产业园。立足竹木产业基础和生物产业优势，重点突破笋竹精深加工瓶颈，联动高校院所攻关竹笋膳食纤维提取、即食笋保鲜、活性物质（如黄酮、多糖）萃取等关键技术，研发健康食品、康养制品、美妆原料等高附加值产品。依托生物制造中试基地，推进竹纤维素、农作物秸秆废弃物资源化利用，研发生物基绿色替代材料，构建农业循环产业链。深耕本土特色食材资源，引进食品加工龙头企业，培育“闽中特色风味”预制菜品牌。力争</w:t>
      </w:r>
      <w:r>
        <w:rPr>
          <w:rFonts w:hint="default" w:ascii="仿宋_GB2312" w:hAnsi="仿宋_GB2312" w:eastAsia="仿宋_GB2312" w:cs="仿宋_GB2312"/>
          <w:kern w:val="2"/>
          <w:sz w:val="32"/>
          <w:szCs w:val="32"/>
          <w:lang w:val="en-US" w:eastAsia="zh-CN" w:bidi="ar-SA"/>
        </w:rPr>
        <w:t>2030年，农产品加工转化率达75%以上，农产品加工业与农业总产值之比达3:1。</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bookmarkStart w:id="64" w:name="_Toc10505"/>
      <w:r>
        <w:rPr>
          <w:rFonts w:hint="default" w:ascii="楷体_GB2312" w:hAnsi="楷体_GB2312" w:eastAsia="楷体_GB2312" w:cs="楷体_GB2312"/>
          <w:b/>
          <w:bCs/>
          <w:kern w:val="2"/>
          <w:sz w:val="32"/>
          <w:szCs w:val="32"/>
          <w:lang w:val="en-US" w:eastAsia="zh-CN" w:bidi="ar-SA"/>
        </w:rPr>
        <w:t>专栏8：现代农业发展行动</w:t>
      </w:r>
      <w:bookmarkEnd w:id="64"/>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尤溪智慧农业云平台。</w:t>
            </w:r>
            <w:r>
              <w:rPr>
                <w:rFonts w:hint="eastAsia" w:ascii="仿宋_GB2312" w:hAnsi="仿宋_GB2312" w:eastAsia="仿宋_GB2312" w:cs="仿宋_GB2312"/>
                <w:kern w:val="2"/>
                <w:sz w:val="32"/>
                <w:szCs w:val="32"/>
                <w:lang w:val="en-US" w:eastAsia="zh-CN" w:bidi="ar-SA"/>
              </w:rPr>
              <w:t>农业农村局接入卫星遥感数据，宏观监测作物长势、反演产量、识别病虫害；无人机定期巡航，获取高精度多光谱影像，精准识别营养缺失或病害区域；物联网设备实时采集环境数据；建立线上农技专家库。</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农业废弃物综合利用行动。</w:t>
            </w:r>
            <w:r>
              <w:rPr>
                <w:rFonts w:hint="eastAsia" w:ascii="仿宋_GB2312" w:hAnsi="仿宋_GB2312" w:eastAsia="仿宋_GB2312" w:cs="仿宋_GB2312"/>
                <w:kern w:val="2"/>
                <w:sz w:val="32"/>
                <w:szCs w:val="32"/>
                <w:lang w:val="en-US" w:eastAsia="zh-CN" w:bidi="ar-SA"/>
              </w:rPr>
              <w:t>对接本地竹木加工产业，探索秸秆生产可降解育秧盘、环保餐具；推行“畜—沼—果/菜/茶”生态循环模式。</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朱子农耕文化体验带。</w:t>
            </w:r>
            <w:r>
              <w:rPr>
                <w:rFonts w:hint="eastAsia" w:ascii="仿宋_GB2312" w:hAnsi="仿宋_GB2312" w:eastAsia="仿宋_GB2312" w:cs="仿宋_GB2312"/>
                <w:kern w:val="2"/>
                <w:sz w:val="32"/>
                <w:szCs w:val="32"/>
                <w:lang w:val="en-US" w:eastAsia="zh-CN" w:bidi="ar-SA"/>
              </w:rPr>
              <w:t>在朱熹诞生地或联合梯田等重要活动区域周边，恢复传统农耕场景，植入朱子文化元素（如农谚、农诗、耕读礼仪），开发农事体验、研学教育、文化展示项目。深挖联合梯田农耕文化，以联合梯田为引领示范，打造一批农旅研学精品项目。</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bCs/>
                <w:color w:val="auto"/>
                <w:sz w:val="28"/>
                <w:szCs w:val="28"/>
                <w:highlight w:val="none"/>
              </w:rPr>
            </w:pPr>
            <w:r>
              <w:rPr>
                <w:rFonts w:hint="eastAsia" w:ascii="仿宋_GB2312" w:hAnsi="仿宋_GB2312" w:eastAsia="仿宋_GB2312" w:cs="仿宋_GB2312"/>
                <w:b/>
                <w:bCs/>
                <w:kern w:val="2"/>
                <w:sz w:val="32"/>
                <w:szCs w:val="32"/>
                <w:lang w:val="en-US" w:eastAsia="zh-CN" w:bidi="ar-SA"/>
              </w:rPr>
              <w:t>现代种业提升工程。</w:t>
            </w:r>
            <w:r>
              <w:rPr>
                <w:rFonts w:hint="eastAsia" w:ascii="仿宋_GB2312" w:hAnsi="仿宋_GB2312" w:eastAsia="仿宋_GB2312" w:cs="仿宋_GB2312"/>
                <w:kern w:val="2"/>
                <w:sz w:val="32"/>
                <w:szCs w:val="32"/>
                <w:lang w:val="en-US" w:eastAsia="zh-CN" w:bidi="ar-SA"/>
              </w:rPr>
              <w:t>实施食用菌育种创新能力提升项目。新建食用菌菌种检验检测平台一个，改造优势特色菌类周年化育种和菌种生产的生产线一条，推动种业“育、繁、推、加”一体化升级。</w:t>
            </w:r>
          </w:p>
        </w:tc>
      </w:tr>
    </w:tbl>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聚力农文旅融合，激活乡村消费动能。</w:t>
      </w:r>
      <w:r>
        <w:rPr>
          <w:rFonts w:hint="eastAsia" w:ascii="仿宋_GB2312" w:hAnsi="仿宋_GB2312" w:eastAsia="仿宋_GB2312" w:cs="仿宋_GB2312"/>
          <w:kern w:val="2"/>
          <w:sz w:val="32"/>
          <w:szCs w:val="32"/>
          <w:lang w:val="en-US" w:eastAsia="zh-CN" w:bidi="ar-SA"/>
        </w:rPr>
        <w:t>锚定全域文旅康养目标，高标准打造“朱子农耕文化体验带”。整合农田、果园、茶园、村落资源，培育“田园综合体”与“共享农庄”等新业态。引入社会资本和专业化运营团队，打造集民宿康养、自然研学、农艺体验、特色餐饮于一体的复合业态。深挖金柑、茶油、蜂蜜、中草药等特色农产品的康养价值，开发精品伴手礼、药膳食品、康养精油等衍生产品，每年迭代推出</w:t>
      </w:r>
      <w:r>
        <w:rPr>
          <w:rFonts w:hint="default" w:ascii="仿宋_GB2312" w:hAnsi="仿宋_GB2312" w:eastAsia="仿宋_GB2312" w:cs="仿宋_GB2312"/>
          <w:kern w:val="2"/>
          <w:sz w:val="32"/>
          <w:szCs w:val="32"/>
          <w:lang w:val="en-US" w:eastAsia="zh-CN" w:bidi="ar-SA"/>
        </w:rPr>
        <w:t>2—3个农文旅融合精品线路或爆款产品，乡村旅游总收入年均增长15%以上。</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聚力绿色转型，构筑生态农业基底。</w:t>
      </w:r>
      <w:r>
        <w:rPr>
          <w:rFonts w:hint="eastAsia" w:ascii="仿宋_GB2312" w:hAnsi="仿宋_GB2312" w:eastAsia="仿宋_GB2312" w:cs="仿宋_GB2312"/>
          <w:kern w:val="2"/>
          <w:sz w:val="32"/>
          <w:szCs w:val="32"/>
          <w:lang w:val="en-US" w:eastAsia="zh-CN" w:bidi="ar-SA"/>
        </w:rPr>
        <w:t>立足生态县基础，全域推广生态种养模式。扩大有机肥替代、绿色防控、生物防治应用覆盖面，建设一批“绿色生态”示范茶园、果园、稻田。推广稻渔（鸭）共生、林下种养等循环农业模式。健全农业废弃物资源化利用体系。探索构建农业碳汇计量、监测、交易机制，培育农业碳汇新赛道。到“十五五”末，主要农产品绿色、有机、地理标志产品认证数量增长</w:t>
      </w:r>
      <w:r>
        <w:rPr>
          <w:rFonts w:hint="default" w:ascii="仿宋_GB2312" w:hAnsi="仿宋_GB2312" w:eastAsia="仿宋_GB2312" w:cs="仿宋_GB2312"/>
          <w:kern w:val="2"/>
          <w:sz w:val="32"/>
          <w:szCs w:val="32"/>
          <w:lang w:val="en-US" w:eastAsia="zh-CN" w:bidi="ar-SA"/>
        </w:rPr>
        <w:t>8%以上，农业废弃物综合利用率达到90%以上。</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snapToGrid w:val="0"/>
          <w:color w:val="auto"/>
          <w:szCs w:val="32"/>
          <w:highlight w:val="none"/>
        </w:rPr>
      </w:pPr>
      <w:bookmarkStart w:id="65" w:name="_Toc3054"/>
      <w:r>
        <w:rPr>
          <w:rFonts w:hint="default" w:ascii="黑体" w:hAnsi="黑体" w:eastAsia="黑体" w:cs="黑体"/>
          <w:b w:val="0"/>
          <w:bCs/>
          <w:snapToGrid w:val="0"/>
          <w:color w:val="auto"/>
          <w:szCs w:val="32"/>
          <w:highlight w:val="none"/>
        </w:rPr>
        <w:t>第六节 推动开发区园区高质量发展</w:t>
      </w:r>
      <w:bookmarkEnd w:id="65"/>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坚守绿色优先、产业集聚、错位发展核心原则，深化园区体制机制改革、提升产业承载能级、推进产城融合、城乡协同，构建山区县域开发区绿色低碳、提质增效的高质量发展新格局。</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eastAsia" w:ascii="楷体_GB2312" w:hAnsi="楷体_GB2312" w:eastAsia="楷体_GB2312" w:cs="楷体_GB2312"/>
          <w:b/>
          <w:bCs/>
          <w:kern w:val="2"/>
          <w:sz w:val="32"/>
          <w:szCs w:val="32"/>
          <w:lang w:val="en-US" w:eastAsia="zh-CN" w:bidi="ar-SA"/>
        </w:rPr>
        <w:t>深化机制改革，释放园区发展动能。</w:t>
      </w:r>
      <w:r>
        <w:rPr>
          <w:rFonts w:hint="eastAsia" w:ascii="仿宋_GB2312" w:hAnsi="仿宋_GB2312" w:eastAsia="仿宋_GB2312" w:cs="仿宋_GB2312"/>
          <w:kern w:val="2"/>
          <w:sz w:val="32"/>
          <w:szCs w:val="32"/>
          <w:lang w:val="en-US" w:eastAsia="zh-CN" w:bidi="ar-SA"/>
        </w:rPr>
        <w:t>严格对标《福建省开发区管理办法》等法律法规的开发区管理规范，优化“管委会+公司”运营模式，厘清政企权责边界、规范园区运营体系。推行“一区一策”差异化管控，对城南园、竹木园等成熟园区强化产业监管，对机械电子产业园等成长期园区侧重政策扶持。落实亩均效益评价机制，通过腾笼换鸟、联合招商盘活低效用地，推行工业用地弹性出让、标准地改革，强化绿色项目用地保障。深化沪明对口合作与山海协作，精准承接沿海低碳产业转移，创新绿色招商、飞地协作模式，搭建绿色技术孵化平台，攻坚产学研融合应用，迭代升级园区智慧能源与绿色基础设施。</w:t>
      </w:r>
    </w:p>
    <w:p>
      <w:pPr>
        <w:keepNext w:val="0"/>
        <w:keepLines w:val="0"/>
        <w:pageBreakBefore w:val="0"/>
        <w:widowControl w:val="0"/>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提升产业能级，夯实集聚发展基础。</w:t>
      </w:r>
      <w:r>
        <w:rPr>
          <w:rFonts w:hint="eastAsia" w:ascii="仿宋_GB2312" w:hAnsi="仿宋_GB2312" w:eastAsia="仿宋_GB2312" w:cs="仿宋_GB2312"/>
          <w:kern w:val="2"/>
          <w:sz w:val="32"/>
          <w:szCs w:val="32"/>
          <w:lang w:val="en-US" w:eastAsia="zh-CN" w:bidi="ar-SA"/>
        </w:rPr>
        <w:t>立足竹木、矿产、轻纺特色产业基础，优化“一区多园”空间布局，推动园区从规模扩张向质量效益转型。精准明晰各园区功能定位，城南园定位“高端纺织服装绿色示范园”，聚焦高附加值纺织产品、纺织配件及机械电子产业，深化纺纱、织造、染整、成衣全产业链闭环协同，培育引进纺织新材料、智能纺织装备等配套项目。机械电子产业园定位“绿色智能装备制造集聚区”，主攻智能家居装备、高端金属压延等产业，构建新型绿色循环产业链。竹木加工产业园定位“竹木精深加工绿色产业基地”，聚焦竹木高端制品精深加工，严格项目准入标准，建设集生产制造、技术研发、商贸流通于一体的特色产业集中区。临港工业集中区定位“绿色矿产品加工示范园”，以选矿工艺升级为核心，深化尾矿资源化利用，探索尾矿制新型建材、回填复垦等循环利用路径，打造生态友好型矿产品加工基地。城西园定位“多元融合绿色轻工产业园”，以轻纺、机械制造、林产加工、食品加工为主导产业，强化产业间协同配套，加强食品加工领域溯源体系建设与绿色包装应用，培育绿色食品、生态林产等特色产业集群。溪尾园重点发展矿产品深加工、新型环保材料及机械通用设备制造产业，同步发展装备制造配套产业，构建与主园区互补的绿色产业生态。全域推进园区环保设施提档升级，健全污水、固废、供热配套体系，建立绿色发展评价机制，引导企业完善环境管理认证，构建资源共享、污染共治、协同发展的绿色集聚格局。</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专栏9：园区开发建设工程</w:t>
      </w:r>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城南园开发建设项目。</w:t>
            </w:r>
            <w:r>
              <w:rPr>
                <w:rFonts w:hint="eastAsia" w:ascii="仿宋_GB2312" w:hAnsi="仿宋_GB2312" w:eastAsia="仿宋_GB2312" w:cs="仿宋_GB2312"/>
                <w:kern w:val="2"/>
                <w:sz w:val="32"/>
                <w:szCs w:val="32"/>
                <w:lang w:val="en-US" w:eastAsia="zh-CN" w:bidi="ar-SA"/>
              </w:rPr>
              <w:t>推进园区扩容承接长三角、珠三角产业，满足服务机械制造、轻工纺织等特色产业集群扩容需求。打通县道新玉线莒洋至城南园段公路，建设台溪仓储物流中心，构建园区物流快速通道；改善周边村庄出行条件，促进产城融合发展。</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竹木园一期西区开发建设项目。</w:t>
            </w:r>
            <w:r>
              <w:rPr>
                <w:rFonts w:hint="eastAsia" w:ascii="仿宋_GB2312" w:hAnsi="仿宋_GB2312" w:eastAsia="仿宋_GB2312" w:cs="仿宋_GB2312"/>
                <w:kern w:val="2"/>
                <w:sz w:val="32"/>
                <w:szCs w:val="32"/>
                <w:lang w:val="en-US" w:eastAsia="zh-CN" w:bidi="ar-SA"/>
              </w:rPr>
              <w:t>打造竹木精深加工示范基地，整合土地资源支撑产业链上下游协同；建设专业化物流通道降低企业运输成本，助力“以竹代塑”绿色产业升级；强化生态型园区建设标准，推动竹林资源高效转化利用。</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城西园配套工程建设项目。</w:t>
            </w:r>
            <w:r>
              <w:rPr>
                <w:rFonts w:hint="eastAsia" w:ascii="仿宋_GB2312" w:hAnsi="仿宋_GB2312" w:eastAsia="仿宋_GB2312" w:cs="仿宋_GB2312"/>
                <w:kern w:val="2"/>
                <w:sz w:val="32"/>
                <w:szCs w:val="32"/>
                <w:lang w:val="en-US" w:eastAsia="zh-CN" w:bidi="ar-SA"/>
              </w:rPr>
              <w:t>通过智慧化改造提升园区服务能级：商业街区与农贸市场建设满足从业人员生活需求；“白改黑”道路工程优化企业物流效率；边坡治理工程消除地质灾害隐患，构建安全高效的生产服务生态圈。</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开发区（含埔头绿色智造产业园）基础配套设施建设。</w:t>
            </w:r>
            <w:r>
              <w:rPr>
                <w:rFonts w:hint="eastAsia" w:ascii="仿宋_GB2312" w:hAnsi="仿宋_GB2312" w:eastAsia="仿宋_GB2312" w:cs="仿宋_GB2312"/>
                <w:kern w:val="2"/>
                <w:sz w:val="32"/>
                <w:szCs w:val="32"/>
                <w:lang w:val="en-US" w:eastAsia="zh-CN" w:bidi="ar-SA"/>
              </w:rPr>
              <w:t>建设路网、雨污管网、路灯、挡墙及边坡防护、排洪渠等基础设施。构建绿色建筑标准体系，雨污管网分级处理提高中水回用；分布式光伏结合智能路灯系统降低公共能耗；防护工程保障高端制造企业安全生产环境，吸引高新技术产业落地。新建标准厂房，提供定制化产业空间，设置专业模块；打造“拎包入住”式招商载体，缩短企业投产周期，加速产业集群培育。</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cs="Times New Roman"/>
                <w:color w:val="auto"/>
                <w:highlight w:val="none"/>
              </w:rPr>
            </w:pPr>
            <w:r>
              <w:rPr>
                <w:rFonts w:hint="eastAsia" w:ascii="仿宋_GB2312" w:hAnsi="仿宋_GB2312" w:eastAsia="仿宋_GB2312" w:cs="仿宋_GB2312"/>
                <w:b/>
                <w:bCs/>
                <w:kern w:val="2"/>
                <w:sz w:val="32"/>
                <w:szCs w:val="32"/>
                <w:lang w:val="en-US" w:eastAsia="zh-CN" w:bidi="ar-SA"/>
              </w:rPr>
              <w:t>5G智慧园区建设项目。</w:t>
            </w:r>
            <w:r>
              <w:rPr>
                <w:rFonts w:hint="eastAsia" w:ascii="仿宋_GB2312" w:hAnsi="仿宋_GB2312" w:eastAsia="仿宋_GB2312" w:cs="仿宋_GB2312"/>
                <w:kern w:val="2"/>
                <w:sz w:val="32"/>
                <w:szCs w:val="32"/>
                <w:lang w:val="en-US" w:eastAsia="zh-CN" w:bidi="ar-SA"/>
              </w:rPr>
              <w:t>构建园区指挥中心，配备智能调度中心、大屏显示系统及会议系统，建设园区管理平台、服务平台与统一支撑平台，夯实园区数字化基础底座。推进5G网络覆盖、综合管网建设、停车场数字化改造、充电设施配套、智慧能耗监测与路灯系统提升，完善园区标准规范与安全运维体系。部署工业5G专网，实现设备互联、能耗管理与安全监控等数字化应用。</w:t>
            </w:r>
          </w:p>
        </w:tc>
      </w:tr>
    </w:tbl>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优化空间布局，构建错位发展格局。</w:t>
      </w:r>
      <w:r>
        <w:rPr>
          <w:rFonts w:hint="default" w:ascii="仿宋_GB2312" w:hAnsi="仿宋_GB2312" w:eastAsia="仿宋_GB2312" w:cs="仿宋_GB2312"/>
          <w:kern w:val="2"/>
          <w:sz w:val="32"/>
          <w:szCs w:val="32"/>
          <w:lang w:val="en-US" w:eastAsia="zh-CN" w:bidi="ar-SA"/>
        </w:rPr>
        <w:t>紧扣各园区资源禀赋与产业基础，细化主导产业赛道，推动各片区差异化定位、特色化发展、互补式联动。聚焦补链强链延链，精准布局配套产业项目，强化产业链上下游协同耦合，严控低效落后产能准入，全面提升园区产业集聚度、关联度、绿色度。统筹各园区产业升级与环保提质，推动产业布局更加科学、业态结构更加优质、发展模式更加绿色，全方位筑牢园区产业高质量发展核心支撑。</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补齐配套短板，深化产城融合发展。</w:t>
      </w:r>
      <w:r>
        <w:rPr>
          <w:rFonts w:hint="default" w:ascii="仿宋_GB2312" w:hAnsi="仿宋_GB2312" w:eastAsia="仿宋_GB2312" w:cs="仿宋_GB2312"/>
          <w:kern w:val="2"/>
          <w:sz w:val="32"/>
          <w:szCs w:val="32"/>
          <w:lang w:val="en-US" w:eastAsia="zh-CN" w:bidi="ar-SA"/>
        </w:rPr>
        <w:t>立足园区紧邻城区、一区多园的发展实际，以空间衔接、功能互补、服务共享、生态共生为重点，深度推进产城一体融合。畅通县城与园区通勤路网，构建半小时通勤圈，实现园区客货路网分离。完善环保设施、智慧物流、能源保障等硬核配套，布局人才公寓、邻里中心，打造15分钟生活圈。深化校企定向合作，开设产业订单专班，补齐医疗、政务服务短板，落实园区事园区办。健全企业需求响应机制，搭建产学研转化平台，提升园区公共服务效能。园区道路绿化率不低于25%，</w:t>
      </w:r>
      <w:r>
        <w:rPr>
          <w:rFonts w:hint="eastAsia" w:ascii="仿宋_GB2312" w:hAnsi="仿宋_GB2312" w:eastAsia="仿宋_GB2312" w:cs="仿宋_GB2312"/>
          <w:kern w:val="2"/>
          <w:sz w:val="32"/>
          <w:szCs w:val="32"/>
          <w:lang w:val="en-US" w:eastAsia="zh-CN" w:bidi="ar-SA"/>
        </w:rPr>
        <w:t>创“无废园区”，融入山林水系打造“三生融合”环境。</w:t>
      </w:r>
    </w:p>
    <w:p>
      <w:pPr>
        <w:pStyle w:val="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default" w:ascii="Times New Roman" w:hAnsi="Times New Roman" w:eastAsia="黑体" w:cs="Times New Roman"/>
          <w:color w:val="auto"/>
          <w:szCs w:val="32"/>
          <w:highlight w:val="none"/>
        </w:rPr>
      </w:pPr>
      <w:bookmarkStart w:id="66" w:name="_Toc27755"/>
      <w:r>
        <w:rPr>
          <w:rFonts w:hint="eastAsia" w:ascii="方正小标宋简体" w:hAnsi="方正小标宋简体" w:eastAsia="方正小标宋简体" w:cs="方正小标宋简体"/>
          <w:color w:val="auto"/>
          <w:szCs w:val="32"/>
          <w:highlight w:val="none"/>
        </w:rPr>
        <w:t>第四章 着力创新驱动，持续释放新质动能</w:t>
      </w:r>
      <w:bookmarkEnd w:id="66"/>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方正仿宋_GB2312" w:hAnsi="方正仿宋_GB2312" w:eastAsia="方正仿宋_GB2312" w:cs="方正仿宋_GB2312"/>
          <w:snapToGrid w:val="0"/>
          <w:color w:val="auto"/>
          <w:szCs w:val="32"/>
          <w:highlight w:val="none"/>
          <w:lang w:val="en-US" w:eastAsia="zh-CN"/>
        </w:rPr>
      </w:pPr>
      <w:r>
        <w:rPr>
          <w:rFonts w:hint="default" w:ascii="仿宋_GB2312" w:hAnsi="仿宋_GB2312" w:eastAsia="仿宋_GB2312" w:cs="仿宋_GB2312"/>
          <w:kern w:val="2"/>
          <w:sz w:val="32"/>
          <w:szCs w:val="32"/>
          <w:lang w:val="en-US" w:eastAsia="zh-CN" w:bidi="ar-SA"/>
        </w:rPr>
        <w:t>聚焦科技创新与产业创新深度融合，打造高端引领、开放包容、活力充盈、特色鲜明的闽中县域创新生态，因地制宜培育壮大新质生产力，为打造闽中经济增长极、区域创新发展新高地，为县域高质量发展蓄势赋能。</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67" w:name="_Toc22246"/>
      <w:r>
        <w:rPr>
          <w:rFonts w:hint="default" w:ascii="黑体" w:hAnsi="黑体" w:eastAsia="黑体" w:cs="黑体"/>
          <w:b w:val="0"/>
          <w:bCs/>
          <w:snapToGrid w:val="0"/>
          <w:color w:val="auto"/>
          <w:szCs w:val="32"/>
          <w:highlight w:val="none"/>
        </w:rPr>
        <w:t>第一节 聚力推进产业核心技术攻关</w:t>
      </w:r>
      <w:bookmarkEnd w:id="67"/>
    </w:p>
    <w:p>
      <w:pPr>
        <w:keepNext w:val="0"/>
        <w:keepLines w:val="0"/>
        <w:pageBreakBefore w:val="0"/>
        <w:widowControl/>
        <w:suppressLineNumbers w:val="0"/>
        <w:kinsoku/>
        <w:wordWrap w:val="0"/>
        <w:overflowPunct/>
        <w:topLinePunct/>
        <w:autoSpaceDE/>
        <w:autoSpaceDN/>
        <w:bidi w:val="0"/>
        <w:adjustRightInd/>
        <w:snapToGrid/>
        <w:spacing w:line="560" w:lineRule="exact"/>
        <w:jc w:val="both"/>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eastAsia" w:ascii="仿宋_GB2312" w:hAnsi="仿宋_GB2312" w:eastAsia="仿宋_GB2312" w:cs="仿宋_GB2312"/>
          <w:kern w:val="2"/>
          <w:sz w:val="32"/>
          <w:szCs w:val="32"/>
          <w:lang w:val="en-US" w:eastAsia="zh-CN" w:bidi="ar-SA"/>
        </w:rPr>
        <w:t>围绕纺织、竹木、矿产三大传统支柱产业，数字经济、文旅康养、新能源、生物制药等战略性新兴产业，构建“需求牵引、技术攻关、场景验证、产业放大”全链条科创支撑体系,以科技创新赋能产业迭代升级。</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eastAsia" w:ascii="楷体_GB2312" w:hAnsi="楷体_GB2312" w:eastAsia="楷体_GB2312" w:cs="楷体_GB2312"/>
          <w:b/>
          <w:bCs/>
          <w:kern w:val="2"/>
          <w:sz w:val="32"/>
          <w:szCs w:val="32"/>
          <w:lang w:val="en-US" w:eastAsia="zh-CN" w:bidi="ar-SA"/>
        </w:rPr>
        <w:t>加强核心技术攻关，赋能产业迭代升级。</w:t>
      </w:r>
      <w:r>
        <w:rPr>
          <w:rFonts w:hint="eastAsia" w:ascii="仿宋_GB2312" w:hAnsi="仿宋_GB2312" w:eastAsia="仿宋_GB2312" w:cs="仿宋_GB2312"/>
          <w:kern w:val="2"/>
          <w:sz w:val="32"/>
          <w:szCs w:val="32"/>
          <w:lang w:val="en-US" w:eastAsia="zh-CN" w:bidi="ar-SA"/>
        </w:rPr>
        <w:t>聚焦传统产业链痛点堵点，建设强化“企业出题、政府立题、人才破题”科创机制。主动融入三明中关村科技园建设，立足尤溪特色产业禀赋，拓宽科创产业发展赛道。加快发展新型纤维研发与应用，聚焦差别化、功能化及新型复合纤维研发，推动高性能聚酯、再生纤维素、可降解纤维产业落地，带动高强高模、阻燃、导电等功能纤维产业发展，拓展防护、医疗、交通、军工等高端应用场景，推动纺织产业向高附加值，多元化，精细化转型。聚焦林业绿色提质转型，主攻良种选育、绿色防控、竹木高值利用等关键领域，突破优质速生树种培育、木材加工、林下种植等核心技术，推动林业产业从资源依赖向技术驱动转型。依托“中国稻种基地”建设，遵循“优种、制种、品牌化”发展路径，构建“科研、育种、产业化”闭环体系。应用分子标记、基因编辑等前沿育种技术，破解水稻、茶叶、竹木、中药材、果蔬等品种改良瓶颈。</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统筹科创资源联动，激活协同发展动能。</w:t>
      </w:r>
      <w:r>
        <w:rPr>
          <w:rFonts w:hint="eastAsia" w:ascii="仿宋_GB2312" w:hAnsi="仿宋_GB2312" w:eastAsia="仿宋_GB2312" w:cs="仿宋_GB2312"/>
          <w:kern w:val="2"/>
          <w:sz w:val="32"/>
          <w:szCs w:val="32"/>
          <w:lang w:val="en-US" w:eastAsia="zh-CN" w:bidi="ar-SA"/>
        </w:rPr>
        <w:t>紧扣产业升级核心需求，搭建“一业一场景、一场景支撑”创新体系，打造县域产业创新协同样板。支持企业开展自主创新，联动创新，精准优化创新资源配置，牵引重点产业能级跃升。布局九阜山智慧林业、城区低空经济试验走廊等创新场景，常态化发布场景应用机会清单，鼓励市场主体先行先试。依托沪明对口合作机制，精准引入上海科研资源，搭建供需对接、成果转化平台，推动绿色纺织、智慧矿业等领域先进技术落地转化。</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前瞻布局前沿赛道，积蓄未来产业势能。</w:t>
      </w:r>
      <w:r>
        <w:rPr>
          <w:rFonts w:hint="eastAsia" w:ascii="仿宋_GB2312" w:hAnsi="仿宋_GB2312" w:eastAsia="仿宋_GB2312" w:cs="仿宋_GB2312"/>
          <w:kern w:val="2"/>
          <w:sz w:val="32"/>
          <w:szCs w:val="32"/>
          <w:lang w:val="en-US" w:eastAsia="zh-CN" w:bidi="ar-SA"/>
        </w:rPr>
        <w:t>依托闽中区位、生态资源、产业配套三重优势，实施未来产业苗圃工程，在埔头园打造未来产业先导区和科创孵化器，集聚优质科创团队，培育高新市场主体，扶持科创企业落地深耕，努力培育百亿级未来产业集群，构筑县域经济长远发展新增长点。</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专栏10：科技创新重大工程</w:t>
      </w:r>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zh-CN" w:eastAsia="zh-CN" w:bidi="ar-SA"/>
              </w:rPr>
              <w:t>尤溪“5G+纺织工业互联网”示范基地。</w:t>
            </w:r>
            <w:r>
              <w:rPr>
                <w:rFonts w:hint="eastAsia" w:ascii="仿宋_GB2312" w:hAnsi="仿宋_GB2312" w:eastAsia="仿宋_GB2312" w:cs="仿宋_GB2312"/>
                <w:kern w:val="2"/>
                <w:sz w:val="32"/>
                <w:szCs w:val="32"/>
                <w:lang w:val="en-US" w:eastAsia="zh-CN" w:bidi="ar-SA"/>
              </w:rPr>
              <w:t>以顺源纺织、旭源纺织为龙头，打造一基地（企业实训基地）、二平台（福建省纺织服装产业大脑平台、尤溪县纺织工业互联网平台）、四中心（数字经济展示中心、工业互联网与智能智造展示中心、创新研发中心、运营管理中心）、N个应用场景（5G+设备管理、5G+AGV、5G+智能仓储、5G+AI检测、生产执行、生产报工、质量追溯、计划排产、能源管理等应用场景）。</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科技创新平台建设。</w:t>
            </w:r>
            <w:r>
              <w:rPr>
                <w:rFonts w:hint="eastAsia" w:ascii="仿宋_GB2312" w:hAnsi="仿宋_GB2312" w:eastAsia="仿宋_GB2312" w:cs="仿宋_GB2312"/>
                <w:kern w:val="2"/>
                <w:sz w:val="32"/>
                <w:szCs w:val="32"/>
                <w:lang w:val="en-US" w:eastAsia="zh-CN" w:bidi="ar-SA"/>
              </w:rPr>
              <w:t>城南园尤溪科创孵化城、产教联合体项目；“智转数改”现代产业配套区和未来产业孵化器；尤溪产业中试熟化基地；闽中竹木产品检验检测中心。</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打造行业高质量数据集与垂类大模型。</w:t>
            </w:r>
            <w:r>
              <w:rPr>
                <w:rFonts w:hint="eastAsia" w:ascii="仿宋_GB2312" w:hAnsi="仿宋_GB2312" w:eastAsia="仿宋_GB2312" w:cs="仿宋_GB2312"/>
                <w:kern w:val="2"/>
                <w:sz w:val="32"/>
                <w:szCs w:val="32"/>
                <w:lang w:val="en-US" w:eastAsia="zh-CN" w:bidi="ar-SA"/>
              </w:rPr>
              <w:t>围绕健康医疗、智慧文旅、纺织业、竹木加工、菌菇和水稻种业等本地优势领域，推进多元特色数据资源融合汇聚。加快数据产品在人工智能、科学研究、产业发展等方面的深度应用，打造“人工智能+文旅”“人工智能+制造”等特色模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九阜山智慧林业“123”工程。</w:t>
            </w:r>
            <w:r>
              <w:rPr>
                <w:rFonts w:hint="eastAsia" w:ascii="仿宋_GB2312" w:hAnsi="仿宋_GB2312" w:eastAsia="仿宋_GB2312" w:cs="仿宋_GB2312"/>
                <w:kern w:val="2"/>
                <w:sz w:val="32"/>
                <w:szCs w:val="32"/>
                <w:lang w:val="en-US" w:eastAsia="zh-CN" w:bidi="ar-SA"/>
              </w:rPr>
              <w:t>在九阜山重点林区布设系列留无人机中继站，搭配地面红外监测设备、土壤墒情传感器，形成“卫星宏观监测—无人机中观巡检—地面微观感知”三级感知网络。对接三明市“空天地一体化”数字底座，开发林业资源管理、生态监测、应急防控三大核心功能模块，建设一个林业大数据中心，公务和便民两大服务应用平台，资源监管、业务应用、政务服务三大体系。</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方正仿宋_GB2312" w:cs="Times New Roman"/>
                <w:color w:val="auto"/>
                <w:sz w:val="28"/>
                <w:szCs w:val="28"/>
                <w:highlight w:val="none"/>
              </w:rPr>
            </w:pPr>
            <w:r>
              <w:rPr>
                <w:rFonts w:hint="eastAsia" w:ascii="仿宋_GB2312" w:hAnsi="仿宋_GB2312" w:eastAsia="仿宋_GB2312" w:cs="仿宋_GB2312"/>
                <w:b/>
                <w:bCs/>
                <w:kern w:val="2"/>
                <w:sz w:val="32"/>
                <w:szCs w:val="32"/>
                <w:lang w:val="en-US" w:eastAsia="zh-CN" w:bidi="ar-SA"/>
              </w:rPr>
              <w:t>智慧城市建设。</w:t>
            </w:r>
            <w:r>
              <w:rPr>
                <w:rFonts w:hint="eastAsia" w:ascii="仿宋_GB2312" w:hAnsi="仿宋_GB2312" w:eastAsia="仿宋_GB2312" w:cs="仿宋_GB2312"/>
                <w:kern w:val="2"/>
                <w:sz w:val="32"/>
                <w:szCs w:val="32"/>
                <w:lang w:val="en-US" w:eastAsia="zh-CN" w:bidi="ar-SA"/>
              </w:rPr>
              <w:t>围绕城市治理与公共服务数字化需求，统筹推进智慧城市公共底座、城市管理、公共安全管理、文旅发展、数据中心等重点领域信息化建设。重点构建统一认证、物联网平台、视频算法调度等共性支撑能力；建设智慧城管、智慧排水、智慧环卫、智慧交通信号控制、智慧停车等城市运行管理系统；提升指挥调度、综合管理、社区安全等公共安全管理能力；推动数字乡村、博物馆数字化、智慧应急等文旅与应急体系升级；实施智慧中心信息化与数字化机房建设；完善云数据中心功能，提供云租赁、云安全与密码服务，全面夯实城市数字化转型基础。</w:t>
            </w:r>
          </w:p>
        </w:tc>
      </w:tr>
    </w:tbl>
    <w:p>
      <w:pPr>
        <w:keepNext w:val="0"/>
        <w:keepLines w:val="0"/>
        <w:pageBreakBefore w:val="0"/>
        <w:widowControl w:val="0"/>
        <w:kinsoku/>
        <w:wordWrap/>
        <w:overflowPunct/>
        <w:topLinePunct w:val="0"/>
        <w:autoSpaceDE/>
        <w:autoSpaceDN/>
        <w:bidi w:val="0"/>
        <w:adjustRightInd/>
        <w:snapToGrid/>
        <w:spacing w:before="221"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68" w:name="_Toc14067"/>
      <w:bookmarkStart w:id="69" w:name="_Toc4494"/>
      <w:bookmarkStart w:id="70" w:name="_Toc14689"/>
      <w:bookmarkStart w:id="71" w:name="_Toc9933"/>
      <w:bookmarkStart w:id="72" w:name="_Toc31098"/>
      <w:r>
        <w:rPr>
          <w:rFonts w:hint="default" w:ascii="黑体" w:hAnsi="黑体" w:eastAsia="黑体" w:cs="黑体"/>
          <w:b w:val="0"/>
          <w:bCs/>
          <w:snapToGrid w:val="0"/>
          <w:color w:val="auto"/>
          <w:szCs w:val="32"/>
          <w:highlight w:val="none"/>
        </w:rPr>
        <w:t>第二节 强化科技创新主体培育</w:t>
      </w:r>
      <w:bookmarkEnd w:id="68"/>
      <w:bookmarkEnd w:id="69"/>
      <w:bookmarkEnd w:id="70"/>
      <w:bookmarkEnd w:id="71"/>
      <w:bookmarkEnd w:id="72"/>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坚持外引内育、梯次培育，持续壮大科创企业主体，构建“龙头引领，骨干支撑，高成长赋能的科创雁阵格局。实施规上工业企业研发投入“全覆盖、两提升”行动，</w:t>
      </w:r>
      <w:r>
        <w:rPr>
          <w:rFonts w:hint="default" w:ascii="仿宋_GB2312" w:hAnsi="仿宋_GB2312" w:eastAsia="仿宋_GB2312" w:cs="仿宋_GB2312"/>
          <w:kern w:val="2"/>
          <w:sz w:val="32"/>
          <w:szCs w:val="32"/>
          <w:lang w:val="en-US" w:eastAsia="zh-CN" w:bidi="ar-SA"/>
        </w:rPr>
        <w:t>力争2030年规上高新技术企业突破10家，全县营业收入1亿元以上企业研发活动实现全覆盖。</w:t>
      </w:r>
    </w:p>
    <w:p>
      <w:pPr>
        <w:keepNext w:val="0"/>
        <w:keepLines w:val="0"/>
        <w:pageBreakBefore w:val="0"/>
        <w:kinsoku/>
        <w:wordWrap/>
        <w:topLinePunct w:val="0"/>
        <w:autoSpaceDE/>
        <w:autoSpaceDN/>
        <w:bidi w:val="0"/>
        <w:adjustRightInd/>
        <w:snapToGrid/>
        <w:spacing w:line="560" w:lineRule="exact"/>
        <w:ind w:firstLine="643"/>
        <w:textAlignment w:val="auto"/>
        <w:rPr>
          <w:rFonts w:hint="eastAsia" w:ascii="方正仿宋_GB2312" w:hAnsi="方正仿宋_GB2312" w:eastAsia="方正仿宋_GB2312" w:cs="方正仿宋_GB2312"/>
          <w:snapToGrid w:val="0"/>
          <w:color w:val="auto"/>
          <w:szCs w:val="32"/>
          <w:highlight w:val="none"/>
          <w:lang w:val="en-US" w:eastAsia="zh-CN"/>
        </w:rPr>
      </w:pPr>
      <w:r>
        <w:rPr>
          <w:rFonts w:hint="eastAsia" w:ascii="楷体_GB2312" w:hAnsi="楷体_GB2312" w:eastAsia="楷体_GB2312" w:cs="楷体_GB2312"/>
          <w:b/>
          <w:bCs/>
          <w:kern w:val="2"/>
          <w:sz w:val="32"/>
          <w:szCs w:val="32"/>
          <w:lang w:val="en-US" w:eastAsia="zh-CN" w:bidi="ar-SA"/>
        </w:rPr>
        <w:t>实施“高新技术企业倍增计划”，优化科创企业梯队。</w:t>
      </w:r>
      <w:r>
        <w:rPr>
          <w:rFonts w:hint="eastAsia" w:ascii="仿宋_GB2312" w:hAnsi="仿宋_GB2312" w:eastAsia="仿宋_GB2312" w:cs="仿宋_GB2312"/>
          <w:kern w:val="2"/>
          <w:sz w:val="32"/>
          <w:szCs w:val="32"/>
          <w:lang w:val="en-US" w:eastAsia="zh-CN" w:bidi="ar-SA"/>
        </w:rPr>
        <w:t>建立企业研发投入“红黑榜”考评制度，加强科技计划项目申报辅导、健全跟踪全周期管理服务体系，构建科技型中小企业、高新技术企业的梯度培育体系，推动科创企业数量扩容、质量升级。引导企业布局建立研发中心、工程技术中心等创新载体，支持龙头企业牵头组建产业技术创新联盟，聚力攻坚产业核心技术、行业共性技术。推动规上工业企业创新研发全覆盖，推行“揭榜挂帅”机制，鼓励企业组建科研团队突破产业链瓶颈，深化产学研深度协同。落实研发费用加计扣除、分段补助等惠企政策，引导企业设立研发准备金，持续稳固研发投入强度。支持企业通过并购重组、知识产权受让等方式整合创新资源，联动高校院所共建研发平台，联合申报重大科创专项，依托龙头企业带动上下游协同创新，助力中小科技企业嫁接优质创新资源。</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实施“链主领航”计划，集聚产业创新势能。</w:t>
      </w:r>
      <w:r>
        <w:rPr>
          <w:rFonts w:hint="eastAsia" w:ascii="仿宋_GB2312" w:hAnsi="仿宋_GB2312" w:eastAsia="仿宋_GB2312" w:cs="仿宋_GB2312"/>
          <w:kern w:val="2"/>
          <w:sz w:val="32"/>
          <w:szCs w:val="32"/>
          <w:lang w:val="en-US" w:eastAsia="zh-CN" w:bidi="ar-SA"/>
        </w:rPr>
        <w:t>推动龙头企业成为产业创新核心引擎。从各产业链遴选实力突出、优势显著的骨干企业作为产业链主，落实“六个一”工作机制，支持链主企业牵头搭建制造业创新中心、产业研究院、供应链协同平台等，争创省级以上链主企业资质，持续提升产业链整体研发投入水平。到2030年，力争每条标志性产业链形成“1—2家全国影响力链主+3家骨干配套企业+2家专精特新企业”的紧密协作集群。</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专栏11：创新型企业培育行动</w:t>
      </w:r>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 w:bidi="ar-SA"/>
              </w:rPr>
            </w:pPr>
            <w:r>
              <w:rPr>
                <w:rFonts w:hint="eastAsia" w:ascii="仿宋_GB2312" w:hAnsi="仿宋_GB2312" w:eastAsia="仿宋_GB2312" w:cs="仿宋_GB2312"/>
                <w:b/>
                <w:bCs/>
                <w:kern w:val="2"/>
                <w:sz w:val="32"/>
                <w:szCs w:val="32"/>
                <w:lang w:val="en-US" w:eastAsia="zh-CN" w:bidi="ar-SA"/>
              </w:rPr>
              <w:t>推动规上企业高新化、高新企业规模化。</w:t>
            </w:r>
            <w:r>
              <w:rPr>
                <w:rFonts w:hint="eastAsia" w:ascii="仿宋_GB2312" w:hAnsi="仿宋_GB2312" w:eastAsia="仿宋_GB2312" w:cs="仿宋_GB2312"/>
                <w:kern w:val="2"/>
                <w:sz w:val="32"/>
                <w:szCs w:val="32"/>
                <w:lang w:val="en-US" w:eastAsia="zh" w:bidi="ar-SA"/>
              </w:rPr>
              <w:t>实施规模以上工业企业研发投入提升行动，重点推动大型制造业企业普遍开展研发活动并设立研发机构，支持规上企业通过技术创新向高新技术企业转型，同时助力高新技术企业做大做强实现规模发展。</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sz w:val="28"/>
                <w:szCs w:val="28"/>
                <w:highlight w:val="none"/>
              </w:rPr>
            </w:pPr>
            <w:r>
              <w:rPr>
                <w:rFonts w:hint="eastAsia" w:ascii="仿宋_GB2312" w:hAnsi="仿宋_GB2312" w:eastAsia="仿宋_GB2312" w:cs="仿宋_GB2312"/>
                <w:b/>
                <w:bCs/>
                <w:kern w:val="2"/>
                <w:sz w:val="32"/>
                <w:szCs w:val="32"/>
                <w:lang w:val="en-US" w:eastAsia="zh-CN" w:bidi="ar-SA"/>
              </w:rPr>
              <w:t>创新企业培育行动。</w:t>
            </w:r>
            <w:r>
              <w:rPr>
                <w:rFonts w:hint="eastAsia" w:ascii="仿宋_GB2312" w:hAnsi="仿宋_GB2312" w:eastAsia="仿宋_GB2312" w:cs="仿宋_GB2312"/>
                <w:kern w:val="2"/>
                <w:sz w:val="32"/>
                <w:szCs w:val="32"/>
                <w:lang w:val="en-US" w:eastAsia="zh-CN" w:bidi="ar-SA"/>
              </w:rPr>
              <w:t>建立从科技型中小企业、高新技术企业到瞪羚与（准）独角兽企业的梯度培育体系，着力培育一批省级以上科技小巨人企业、制造业单项冠军示范企业及国家科技型中小企业，形成结构合理、创新能力强的企业梯队。</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73" w:name="_Toc6365"/>
      <w:bookmarkStart w:id="74" w:name="_Toc24348"/>
      <w:bookmarkStart w:id="75" w:name="_Toc1809"/>
      <w:bookmarkStart w:id="76" w:name="_Toc12165"/>
      <w:bookmarkStart w:id="77" w:name="_Toc12024"/>
      <w:r>
        <w:rPr>
          <w:rFonts w:hint="eastAsia" w:ascii="黑体" w:hAnsi="黑体" w:eastAsia="黑体" w:cs="黑体"/>
          <w:b w:val="0"/>
          <w:bCs/>
          <w:snapToGrid w:val="0"/>
          <w:color w:val="auto"/>
          <w:szCs w:val="32"/>
          <w:highlight w:val="none"/>
          <w:lang w:val="en-US" w:eastAsia="zh-CN"/>
        </w:rPr>
        <w:t xml:space="preserve">第三节 </w:t>
      </w:r>
      <w:r>
        <w:rPr>
          <w:rFonts w:hint="default" w:ascii="黑体" w:hAnsi="黑体" w:eastAsia="黑体" w:cs="黑体"/>
          <w:b w:val="0"/>
          <w:bCs/>
          <w:snapToGrid w:val="0"/>
          <w:color w:val="auto"/>
          <w:szCs w:val="32"/>
          <w:highlight w:val="none"/>
        </w:rPr>
        <w:t>积极打造高能级创新载体</w:t>
      </w:r>
      <w:bookmarkEnd w:id="73"/>
      <w:bookmarkEnd w:id="74"/>
      <w:bookmarkEnd w:id="75"/>
      <w:bookmarkEnd w:id="76"/>
      <w:bookmarkEnd w:id="77"/>
    </w:p>
    <w:p>
      <w:pPr>
        <w:keepNext w:val="0"/>
        <w:keepLines w:val="0"/>
        <w:pageBreakBefore w:val="0"/>
        <w:kinsoku/>
        <w:wordWrap/>
        <w:topLinePunct w:val="0"/>
        <w:autoSpaceDE/>
        <w:autoSpaceDN/>
        <w:bidi w:val="0"/>
        <w:adjustRightInd/>
        <w:snapToGrid/>
        <w:spacing w:line="560" w:lineRule="exact"/>
        <w:ind w:firstLine="643"/>
        <w:textAlignment w:val="auto"/>
        <w:rPr>
          <w:rFonts w:hint="default" w:ascii="方正仿宋_GB2312" w:hAnsi="方正仿宋_GB2312" w:eastAsia="方正仿宋_GB2312" w:cs="方正仿宋_GB2312"/>
          <w:snapToGrid w:val="0"/>
          <w:color w:val="auto"/>
          <w:szCs w:val="32"/>
          <w:highlight w:val="none"/>
          <w:lang w:val="en-US" w:eastAsia="zh-CN"/>
        </w:rPr>
      </w:pPr>
      <w:r>
        <w:rPr>
          <w:rFonts w:hint="default" w:ascii="仿宋_GB2312" w:hAnsi="仿宋_GB2312" w:eastAsia="仿宋_GB2312" w:cs="仿宋_GB2312"/>
          <w:kern w:val="2"/>
          <w:sz w:val="32"/>
          <w:szCs w:val="32"/>
          <w:lang w:val="en-US" w:eastAsia="zh-CN" w:bidi="ar-SA"/>
        </w:rPr>
        <w:t>立足长远发展、拉高创新站位，推动各类科创平台迭代升级，前瞻布局新型创新载体，推动县域科创建设从配套跟随向区域节点跨越，力争2030年实现国家级创新平台零的突破。</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建强科创平台基地，为产业发展提供源头支撑。</w:t>
      </w:r>
      <w:r>
        <w:rPr>
          <w:rFonts w:hint="eastAsia" w:ascii="仿宋_GB2312" w:hAnsi="仿宋_GB2312" w:eastAsia="仿宋_GB2312" w:cs="仿宋_GB2312"/>
          <w:kern w:val="2"/>
          <w:sz w:val="32"/>
          <w:szCs w:val="32"/>
          <w:lang w:val="en-US" w:eastAsia="zh-CN" w:bidi="ar-SA"/>
        </w:rPr>
        <w:t>紧扣主导产业和新兴产业发展需求，布局建设专业化产业链创新平台，依托企业技改提质契机，争创省级工程研究中心、企业技术中心。优化平台运营机制，推动大型科研仪器开放共享，完善绩效考核管理体系。持续推进专家工作站、科技小院、博士创新站建设，引导企业联合高校院所共建高端研发载体。鼓励社会力量兴办新型研发机构，落实配套扶持政策，推动运营模式、管理机制创新。聚焦竹木特色产业，推动重点企业联动科研院所组建竹产业创新联盟，谋划布局一批省市级、国家级竹产业研发中心，聚力攻坚产业关键共性技术、前沿引领技术，全面提升产业科创承载能力。</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搭建科创公共服务体系，为产业发展提供要素支撑。</w:t>
      </w:r>
      <w:r>
        <w:rPr>
          <w:rFonts w:hint="eastAsia" w:ascii="仿宋_GB2312" w:hAnsi="仿宋_GB2312" w:eastAsia="仿宋_GB2312" w:cs="仿宋_GB2312"/>
          <w:kern w:val="2"/>
          <w:sz w:val="32"/>
          <w:szCs w:val="32"/>
          <w:lang w:val="en-US" w:eastAsia="zh-CN" w:bidi="ar-SA"/>
        </w:rPr>
        <w:t>聚焦全县产业共性技术短板与配套服务弱项，围绕纺织功能性纤维研发、竹木制品绿色胶黏剂替代、矿产精深加工尾渣资源化利用等重点领域，规划建设“尤溪产业中试熟化基地”，补齐产业技术中试、成果熟化关键要素短板。聚力打造闽中地区公信力足、覆盖面广、专业性强的第三方检测认证服务平台。聚焦竹木等县域特色产业，提供标准化质量检测、专业技术评价等配套服务，健全科创公共服务要素体系，赋能区域特色品牌培育，全面提升产业链整体竞争力。</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专栏12：打造高能级创新载体行动</w:t>
      </w:r>
    </w:p>
    <w:tbl>
      <w:tblPr>
        <w:tblStyle w:val="18"/>
        <w:tblpPr w:leftFromText="180" w:rightFromText="180" w:vertAnchor="text" w:horzAnchor="page" w:tblpXSpec="center" w:tblpY="25"/>
        <w:tblOverlap w:val="never"/>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杨浦·尤溪飞地科创中心。</w:t>
            </w:r>
            <w:r>
              <w:rPr>
                <w:rFonts w:hint="eastAsia" w:ascii="仿宋_GB2312" w:hAnsi="仿宋_GB2312" w:eastAsia="仿宋_GB2312" w:cs="仿宋_GB2312"/>
                <w:kern w:val="2"/>
                <w:sz w:val="32"/>
                <w:szCs w:val="32"/>
                <w:lang w:val="en-US" w:eastAsia="zh-CN" w:bidi="ar-SA"/>
              </w:rPr>
              <w:t>推进尤溪现代农业（食用菌）上海人才驿站、闽台食用菌研发中心、茯苓科研实践基地建设。</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尤溪科创孵化城。</w:t>
            </w:r>
            <w:r>
              <w:rPr>
                <w:rFonts w:hint="eastAsia" w:ascii="仿宋_GB2312" w:hAnsi="仿宋_GB2312" w:eastAsia="仿宋_GB2312" w:cs="仿宋_GB2312"/>
                <w:kern w:val="2"/>
                <w:sz w:val="32"/>
                <w:szCs w:val="32"/>
                <w:lang w:val="en-US" w:eastAsia="zh-CN" w:bidi="ar-SA"/>
              </w:rPr>
              <w:t>规划建设于城南园区块，重点引进知名孵化机构、投融资机构、知识产权服务机构，着力打造一个环境优越、服务周全、资本对接便捷的孵化生态系统。打造产教联合体，科创与生产人员科技文化生活区。推进石路园区的综合开发，发展物流配套设施。打通竹木园与“横五线”、兄弟物流园通道，将竹木园向东扩容，建设“智转数改”现代产业配套区和未来产业孵化器。</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产业科研平台。</w:t>
            </w:r>
            <w:r>
              <w:rPr>
                <w:rFonts w:hint="eastAsia" w:ascii="仿宋_GB2312" w:hAnsi="仿宋_GB2312" w:eastAsia="仿宋_GB2312" w:cs="仿宋_GB2312"/>
                <w:kern w:val="2"/>
                <w:sz w:val="32"/>
                <w:szCs w:val="32"/>
                <w:lang w:val="en-US" w:eastAsia="zh-CN" w:bidi="ar-SA"/>
              </w:rPr>
              <w:t>推进国家农作物品种区域实验站、福建中翔纳米科技研发中心、竹木加工数字化工程技术研究平台的建设。</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尤溪产业中试熟化基地。</w:t>
            </w:r>
            <w:r>
              <w:rPr>
                <w:rFonts w:hint="eastAsia" w:ascii="仿宋_GB2312" w:hAnsi="仿宋_GB2312" w:eastAsia="仿宋_GB2312" w:cs="仿宋_GB2312"/>
                <w:kern w:val="2"/>
                <w:sz w:val="32"/>
                <w:szCs w:val="32"/>
                <w:lang w:val="en-US" w:eastAsia="zh-CN" w:bidi="ar-SA"/>
              </w:rPr>
              <w:t>争创具有国家级CMA、CNAS资质的“闽中竹木产品检验检测中心”。</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sz w:val="28"/>
                <w:szCs w:val="28"/>
                <w:highlight w:val="none"/>
              </w:rPr>
            </w:pPr>
            <w:r>
              <w:rPr>
                <w:rFonts w:hint="eastAsia" w:ascii="仿宋_GB2312" w:hAnsi="仿宋_GB2312" w:eastAsia="仿宋_GB2312" w:cs="仿宋_GB2312"/>
                <w:b/>
                <w:bCs/>
                <w:kern w:val="2"/>
                <w:sz w:val="32"/>
                <w:szCs w:val="32"/>
                <w:lang w:val="en-US" w:eastAsia="zh-CN" w:bidi="ar-SA"/>
              </w:rPr>
              <w:t>与科研院所高校合作的科研平台建设。</w:t>
            </w:r>
            <w:r>
              <w:rPr>
                <w:rFonts w:hint="eastAsia" w:ascii="仿宋_GB2312" w:hAnsi="仿宋_GB2312" w:eastAsia="仿宋_GB2312" w:cs="仿宋_GB2312"/>
                <w:kern w:val="2"/>
                <w:sz w:val="32"/>
                <w:szCs w:val="32"/>
                <w:lang w:val="en-US" w:eastAsia="zh-CN" w:bidi="ar-SA"/>
              </w:rPr>
              <w:t>重点依托谢华安院士专家工作站、尤溪专家工作站（由上海市农科院与三明市农科院共建）、福建农林大学红茶科技小院与柑橘科技小院、厦门大学国学教研基地等平台。深化与高校、科研院所的产学研合作，共建一批高水平科研平台和博士创新工作站。</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78" w:name="_Toc7686"/>
      <w:bookmarkStart w:id="79" w:name="_Toc27660"/>
      <w:bookmarkStart w:id="80" w:name="_Toc11427"/>
      <w:bookmarkStart w:id="81" w:name="_Toc30922"/>
      <w:bookmarkStart w:id="82" w:name="_Toc2015"/>
      <w:r>
        <w:rPr>
          <w:rFonts w:hint="default" w:ascii="黑体" w:hAnsi="黑体" w:eastAsia="黑体" w:cs="黑体"/>
          <w:b w:val="0"/>
          <w:bCs/>
          <w:snapToGrid w:val="0"/>
          <w:color w:val="auto"/>
          <w:szCs w:val="32"/>
          <w:highlight w:val="none"/>
        </w:rPr>
        <w:t>第四节 培育壮大科技创新人才队伍</w:t>
      </w:r>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以超常规举措打造“近悦远来”人才生态，让各类人才在尤溪创业有机会、创新有舞台、创造有价值、发展有空间。</w:t>
      </w:r>
    </w:p>
    <w:p>
      <w:pPr>
        <w:keepNext w:val="0"/>
        <w:keepLines w:val="0"/>
        <w:pageBreakBefore w:val="0"/>
        <w:kinsoku/>
        <w:wordWrap/>
        <w:topLinePunct w:val="0"/>
        <w:autoSpaceDE/>
        <w:autoSpaceDN/>
        <w:bidi w:val="0"/>
        <w:adjustRightInd/>
        <w:snapToGrid/>
        <w:spacing w:line="560" w:lineRule="exact"/>
        <w:ind w:firstLine="643"/>
        <w:textAlignment w:val="auto"/>
        <w:rPr>
          <w:rFonts w:hint="eastAsia" w:ascii="仿宋" w:hAnsi="仿宋" w:eastAsia="仿宋" w:cs="仿宋"/>
          <w:snapToGrid w:val="0"/>
          <w:color w:val="auto"/>
          <w:szCs w:val="32"/>
          <w:highlight w:val="none"/>
        </w:rPr>
      </w:pPr>
      <w:r>
        <w:rPr>
          <w:rFonts w:hint="eastAsia" w:ascii="楷体_GB2312" w:hAnsi="楷体_GB2312" w:eastAsia="楷体_GB2312" w:cs="楷体_GB2312"/>
          <w:b/>
          <w:bCs/>
          <w:kern w:val="2"/>
          <w:sz w:val="32"/>
          <w:szCs w:val="32"/>
          <w:lang w:val="en-US" w:eastAsia="zh-CN" w:bidi="ar-SA"/>
        </w:rPr>
        <w:t>实施“朱子英才”计划。</w:t>
      </w:r>
      <w:r>
        <w:rPr>
          <w:rFonts w:hint="eastAsia" w:ascii="仿宋_GB2312" w:hAnsi="仿宋_GB2312" w:eastAsia="仿宋_GB2312" w:cs="仿宋_GB2312"/>
          <w:kern w:val="2"/>
          <w:sz w:val="32"/>
          <w:szCs w:val="32"/>
          <w:lang w:val="en-US" w:eastAsia="zh-CN" w:bidi="ar-SA"/>
        </w:rPr>
        <w:t>围绕重点产业、重点学科、重点领域，坚持高端人才柔性引进、基础人才自主培育、各类人才激励使用的原则，推行“朱子英才绿卡”制度。深化“柔性引才+飞地育才”机制，完善招才引智与招商引资联动机制，鼓励优秀的尤溪籍人才回乡创新创业。支持龙头企业建立人才梯队培育体系，打通“基层—骨干—领军”成长通道。</w:t>
      </w:r>
    </w:p>
    <w:p>
      <w:pPr>
        <w:keepNext w:val="0"/>
        <w:keepLines w:val="0"/>
        <w:pageBreakBefore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加大力度推动本土人才培育。</w:t>
      </w:r>
      <w:r>
        <w:rPr>
          <w:rFonts w:hint="eastAsia" w:ascii="仿宋_GB2312" w:hAnsi="仿宋_GB2312" w:eastAsia="仿宋_GB2312" w:cs="仿宋_GB2312"/>
          <w:kern w:val="2"/>
          <w:sz w:val="32"/>
          <w:szCs w:val="32"/>
          <w:lang w:val="en-US" w:eastAsia="zh-CN" w:bidi="ar-SA"/>
        </w:rPr>
        <w:t>“十五五”期间，尤溪县以传统产业强基、新兴产业蓄能、未来产业布局为路径，锚定满足本地区产业发展和数改智转的需求目标，构建精准化本土人才培育体系。针对“以竹代塑”新赛道与矿产绿色开发，积极培育技术骨干。借力沪明对口合作，引入上海智力资源，定向培养机械电子精密制造、新材料研发人才，构建“研发攻关+成果转化”培育链条，为新兴产业产能跃升蓄能。</w:t>
      </w:r>
    </w:p>
    <w:p>
      <w:pPr>
        <w:keepNext w:val="0"/>
        <w:keepLines w:val="0"/>
        <w:pageBreakBefore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营造引才爱才的良好生态。</w:t>
      </w:r>
      <w:r>
        <w:rPr>
          <w:rFonts w:hint="eastAsia" w:ascii="仿宋_GB2312" w:hAnsi="仿宋_GB2312" w:eastAsia="仿宋_GB2312" w:cs="仿宋_GB2312"/>
          <w:kern w:val="2"/>
          <w:sz w:val="32"/>
          <w:szCs w:val="32"/>
          <w:lang w:val="en-US" w:eastAsia="zh-CN" w:bidi="ar-SA"/>
        </w:rPr>
        <w:t>坚持“以赛引才、以会聚才、以赛育才”，每年举办“创新创业大赛”“青年学者论坛”“竹木产业研讨会”等品牌活动，吸引高层次人才带着项目、技术和团队来尤溪创新创业。积极推进高品质生活配套设施建设，推进人才服务专业化制度，为高层次人才提供“一对一”全程代办服务，真正做到“有求必应、无事不扰”。</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专栏13：重点科技人才行动计划</w:t>
      </w:r>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72"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color w:val="auto"/>
                <w:sz w:val="32"/>
                <w:szCs w:val="32"/>
                <w:highlight w:val="none"/>
              </w:rPr>
            </w:pPr>
            <w:r>
              <w:rPr>
                <w:rFonts w:hint="eastAsia" w:ascii="仿宋_GB2312" w:hAnsi="仿宋_GB2312" w:eastAsia="仿宋_GB2312" w:cs="仿宋_GB2312"/>
                <w:b/>
                <w:bCs/>
                <w:kern w:val="2"/>
                <w:sz w:val="32"/>
                <w:szCs w:val="32"/>
                <w:lang w:val="en-US" w:eastAsia="zh-CN" w:bidi="ar-SA"/>
              </w:rPr>
              <w:t>“三驿联动”计划。</w:t>
            </w:r>
            <w:r>
              <w:rPr>
                <w:rFonts w:hint="eastAsia" w:ascii="仿宋_GB2312" w:hAnsi="仿宋_GB2312" w:eastAsia="仿宋_GB2312" w:cs="仿宋_GB2312"/>
                <w:kern w:val="2"/>
                <w:sz w:val="32"/>
                <w:szCs w:val="32"/>
                <w:lang w:val="en-US" w:eastAsia="zh-CN" w:bidi="ar-SA"/>
              </w:rPr>
              <w:t>构建“创业驿站+银龄工作站+人才驿站”三驿联动体系。在特色种植和精致农业、竹木深加工和文创、文旅康养和高山康养等小而美产业设立创业驿站；在尤溪老体协建立银龄专家库，组建首批产业专家顾问团，实施“银龄传帮带”工程和推广“银发人才包村指导”模式。扶持关键性产业成立人才驿站，打造“一站式”人才服务综合体。</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83" w:name="_Toc24090"/>
      <w:bookmarkStart w:id="84" w:name="_Toc15546"/>
      <w:bookmarkStart w:id="85" w:name="_Toc3497"/>
      <w:bookmarkStart w:id="86" w:name="_Toc24733"/>
      <w:bookmarkStart w:id="87" w:name="_Toc19617"/>
      <w:r>
        <w:rPr>
          <w:rFonts w:hint="default" w:ascii="黑体" w:hAnsi="黑体" w:eastAsia="黑体" w:cs="黑体"/>
          <w:b w:val="0"/>
          <w:bCs/>
          <w:snapToGrid w:val="0"/>
          <w:color w:val="auto"/>
          <w:szCs w:val="32"/>
          <w:highlight w:val="none"/>
        </w:rPr>
        <w:t>第五节 加速科技成果转化</w:t>
      </w:r>
      <w:bookmarkEnd w:id="83"/>
      <w:bookmarkEnd w:id="84"/>
      <w:bookmarkEnd w:id="85"/>
      <w:bookmarkEnd w:id="86"/>
      <w:r>
        <w:rPr>
          <w:rFonts w:hint="default" w:ascii="黑体" w:hAnsi="黑体" w:eastAsia="黑体" w:cs="黑体"/>
          <w:b w:val="0"/>
          <w:bCs/>
          <w:snapToGrid w:val="0"/>
          <w:color w:val="auto"/>
          <w:szCs w:val="32"/>
          <w:highlight w:val="none"/>
        </w:rPr>
        <w:t>应用</w:t>
      </w:r>
      <w:bookmarkEnd w:id="87"/>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坚持以需求为导向、以企业为主体、以市场为机制，构建汇聚政府、产业、高校、科研机构、金融机构、应用单位等多方协同的成果转化体系，推动科创成果切实转化为产业发展实效。</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搭建县级技术交易平台，为成果流转提供载体支撑。</w:t>
      </w:r>
      <w:r>
        <w:rPr>
          <w:rFonts w:hint="eastAsia" w:ascii="仿宋_GB2312" w:hAnsi="仿宋_GB2312" w:eastAsia="仿宋_GB2312" w:cs="仿宋_GB2312"/>
          <w:kern w:val="2"/>
          <w:sz w:val="32"/>
          <w:szCs w:val="32"/>
          <w:lang w:val="en-US" w:eastAsia="zh-CN" w:bidi="ar-SA"/>
        </w:rPr>
        <w:t>借鉴先进地区平台建设经验，打造线上线下一体化的县级技术交易平台，集成科技信息发布、需求对接、价值评估、交易合作、金融赋能、政策兑现六大功能，构建科技成果就地、异地、跨境等多元转化模式。</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设立成果转化基金，为项目落地提供资金支撑。</w:t>
      </w:r>
      <w:r>
        <w:rPr>
          <w:rFonts w:hint="eastAsia" w:ascii="仿宋_GB2312" w:hAnsi="仿宋_GB2312" w:eastAsia="仿宋_GB2312" w:cs="仿宋_GB2312"/>
          <w:kern w:val="2"/>
          <w:sz w:val="32"/>
          <w:szCs w:val="32"/>
          <w:lang w:val="en-US" w:eastAsia="zh-CN" w:bidi="ar-SA"/>
        </w:rPr>
        <w:t>联合省级基金与社会资本，组建尤溪科技成果转化基金，重点扶持早期研发和成果转化项目。落实“投早、投小、投硬科技”容错机制，实行政府引导、市场运作、收益循环模式，撬动社会资本，推动社会资本助力重大科技成果落地。</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创新场景应用模式，为技术推广提供实践支撑。</w:t>
      </w:r>
      <w:r>
        <w:rPr>
          <w:rFonts w:hint="eastAsia" w:ascii="仿宋_GB2312" w:hAnsi="仿宋_GB2312" w:eastAsia="仿宋_GB2312" w:cs="仿宋_GB2312"/>
          <w:kern w:val="2"/>
          <w:sz w:val="32"/>
          <w:szCs w:val="32"/>
          <w:lang w:val="en-US" w:eastAsia="zh-CN" w:bidi="ar-SA"/>
        </w:rPr>
        <w:t>动态更新县域创新应用场景清单，围绕竹木家居、纺织新材料、文旅康养、智慧矿山、数字农业等领域发布科技成果应用需求，引导科研单位、创新企业开展技术产品试点推广。建立健全成果转化机制，有效打通需求研发、技术攻关、产业应用各个环节。</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健全科创公共服务体系，为科技成果转化提供良好生态。</w:t>
      </w:r>
      <w:r>
        <w:rPr>
          <w:rFonts w:hint="eastAsia" w:ascii="仿宋_GB2312" w:hAnsi="仿宋_GB2312" w:eastAsia="仿宋_GB2312" w:cs="仿宋_GB2312"/>
          <w:kern w:val="2"/>
          <w:sz w:val="32"/>
          <w:szCs w:val="32"/>
          <w:lang w:val="en-US" w:eastAsia="zh-CN" w:bidi="ar-SA"/>
        </w:rPr>
        <w:t>全面落实《福建省促进科技成果转化条例》，鼓励高校院所科研人员带着成果到尤溪创办企业，健全成果转化责任制度和创业创新容错机制。深化银行、保险、创投联动协同机制，迭代丰富科技金融特色产品体系，完善科技成果价值评估、风险分担配套机制，构建教育、科研、人才、金融深度融合的科创转化生态，打通科技成果从科研端、人才端到产业端的落地闭环。</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专栏14：科技转化服务平台建设</w:t>
      </w:r>
    </w:p>
    <w:tbl>
      <w:tblPr>
        <w:tblStyle w:val="1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县级技术交易平台。</w:t>
            </w:r>
            <w:r>
              <w:rPr>
                <w:rFonts w:hint="eastAsia" w:ascii="仿宋_GB2312" w:hAnsi="仿宋_GB2312" w:eastAsia="仿宋_GB2312" w:cs="仿宋_GB2312"/>
                <w:kern w:val="2"/>
                <w:sz w:val="32"/>
                <w:szCs w:val="32"/>
                <w:lang w:val="en-US" w:eastAsia="zh-CN" w:bidi="ar-SA"/>
              </w:rPr>
              <w:t>建立技术需求库，定期向各界发布技术攻关难题、改造需求，邀请国内外高校、科研院所结合自身优势针对需求精准“接单”。</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知识产权保护与转化中心。</w:t>
            </w:r>
            <w:r>
              <w:rPr>
                <w:rFonts w:hint="eastAsia" w:ascii="仿宋_GB2312" w:hAnsi="仿宋_GB2312" w:eastAsia="仿宋_GB2312" w:cs="仿宋_GB2312"/>
                <w:kern w:val="2"/>
                <w:sz w:val="32"/>
                <w:szCs w:val="32"/>
                <w:lang w:val="en-US" w:eastAsia="zh-CN" w:bidi="ar-SA"/>
              </w:rPr>
              <w:t>整合引入优秀的律师事务所、知识产权代理机构，设立知识产权纠纷行政调解室，为重点产业链建立知识产权竞争情报系统，监控国内外相关领域的专利布局和侵权风险，定期向企业发布预警报告。</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sz w:val="28"/>
                <w:szCs w:val="28"/>
                <w:highlight w:val="none"/>
              </w:rPr>
            </w:pPr>
            <w:r>
              <w:rPr>
                <w:rFonts w:hint="eastAsia" w:ascii="仿宋_GB2312" w:hAnsi="仿宋_GB2312" w:eastAsia="仿宋_GB2312" w:cs="仿宋_GB2312"/>
                <w:b/>
                <w:bCs/>
                <w:kern w:val="2"/>
                <w:sz w:val="32"/>
                <w:szCs w:val="32"/>
                <w:lang w:val="en-US" w:eastAsia="zh-CN" w:bidi="ar-SA"/>
              </w:rPr>
              <w:t>金融支持科技创新行动。</w:t>
            </w:r>
            <w:r>
              <w:rPr>
                <w:rFonts w:hint="eastAsia" w:ascii="仿宋_GB2312" w:hAnsi="仿宋_GB2312" w:eastAsia="仿宋_GB2312" w:cs="仿宋_GB2312"/>
                <w:kern w:val="2"/>
                <w:sz w:val="32"/>
                <w:szCs w:val="32"/>
                <w:lang w:val="en-US" w:eastAsia="zh-CN" w:bidi="ar-SA"/>
              </w:rPr>
              <w:t>支持金融机构提供科技创新项目，研发场景金融产品；创建尤溪科技创新主体融资需求库，建立容错的创新创业基金。</w:t>
            </w:r>
          </w:p>
        </w:tc>
      </w:tr>
    </w:tbl>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仿宋_GB2312" w:hAnsi="方正仿宋_GB2312" w:eastAsia="方正仿宋_GB2312" w:cs="方正仿宋_GB2312"/>
          <w:color w:val="auto"/>
          <w:szCs w:val="32"/>
          <w:highlight w:val="none"/>
        </w:rPr>
      </w:pPr>
      <w:bookmarkStart w:id="88" w:name="_Toc27515"/>
      <w:bookmarkStart w:id="89" w:name="_Toc29784"/>
      <w:bookmarkStart w:id="90" w:name="_Toc14610"/>
      <w:bookmarkStart w:id="91" w:name="_Toc5899"/>
      <w:bookmarkStart w:id="92" w:name="_Toc14022"/>
      <w:bookmarkStart w:id="93" w:name="_Toc4151"/>
      <w:bookmarkStart w:id="94" w:name="_Toc20039"/>
      <w:bookmarkStart w:id="95" w:name="_Toc5373"/>
      <w:bookmarkStart w:id="96" w:name="_Toc4055"/>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default" w:ascii="Times New Roman" w:hAnsi="Times New Roman" w:eastAsia="黑体" w:cs="Times New Roman"/>
          <w:color w:val="auto"/>
          <w:szCs w:val="32"/>
          <w:highlight w:val="none"/>
        </w:rPr>
      </w:pPr>
      <w:r>
        <w:rPr>
          <w:rFonts w:hint="eastAsia" w:ascii="方正小标宋简体" w:hAnsi="方正小标宋简体" w:eastAsia="方正小标宋简体" w:cs="方正小标宋简体"/>
          <w:color w:val="auto"/>
          <w:szCs w:val="32"/>
          <w:highlight w:val="none"/>
        </w:rPr>
        <w:t>第五章 着力扩大内需，充分释放有效需求</w:t>
      </w:r>
      <w:bookmarkEnd w:id="88"/>
      <w:bookmarkEnd w:id="8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坚定实施扩大内需战略，大力提振消费，扩大有效投资，全方位畅通内需循环链条，加快培育完整内需体系，不断增强经济发展内生动力。</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eastAsia" w:ascii="黑体" w:hAnsi="黑体" w:eastAsia="黑体" w:cs="黑体"/>
          <w:b w:val="0"/>
          <w:bCs/>
          <w:snapToGrid w:val="0"/>
          <w:color w:val="auto"/>
          <w:szCs w:val="32"/>
          <w:highlight w:val="none"/>
        </w:rPr>
      </w:pPr>
      <w:bookmarkStart w:id="97" w:name="_Toc15601"/>
      <w:bookmarkStart w:id="98" w:name="_Toc31126"/>
      <w:r>
        <w:rPr>
          <w:rFonts w:hint="eastAsia" w:ascii="黑体" w:hAnsi="黑体" w:eastAsia="黑体" w:cs="黑体"/>
          <w:b w:val="0"/>
          <w:bCs/>
          <w:snapToGrid w:val="0"/>
          <w:color w:val="auto"/>
          <w:szCs w:val="32"/>
          <w:highlight w:val="none"/>
        </w:rPr>
        <w:t>第一节 促进消费扩容提质</w:t>
      </w:r>
      <w:bookmarkEnd w:id="97"/>
      <w:bookmarkEnd w:id="98"/>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深入实施提振消费专项行动，从提升消费能力、扩大优质供给、改善消费环境等方面综合施策、全面发力，扩大优质消费品和服务供给，大力拓展新型消费，持续提升城市消费吸引力和承载力。</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 w:hAnsi="仿宋" w:eastAsia="仿宋" w:cs="仿宋"/>
          <w:snapToGrid w:val="0"/>
          <w:color w:val="auto"/>
          <w:szCs w:val="32"/>
          <w:highlight w:val="none"/>
        </w:rPr>
      </w:pPr>
      <w:r>
        <w:rPr>
          <w:rFonts w:hint="eastAsia" w:ascii="楷体_GB2312" w:hAnsi="楷体_GB2312" w:eastAsia="楷体_GB2312" w:cs="楷体_GB2312"/>
          <w:b/>
          <w:bCs/>
          <w:kern w:val="2"/>
          <w:sz w:val="32"/>
          <w:szCs w:val="32"/>
          <w:lang w:val="en-US" w:eastAsia="zh-CN" w:bidi="ar-SA"/>
        </w:rPr>
        <w:t>多渠道增加居民收入。</w:t>
      </w:r>
      <w:r>
        <w:rPr>
          <w:rFonts w:hint="eastAsia" w:ascii="仿宋_GB2312" w:hAnsi="仿宋_GB2312" w:eastAsia="仿宋_GB2312" w:cs="仿宋_GB2312"/>
          <w:kern w:val="2"/>
          <w:sz w:val="32"/>
          <w:szCs w:val="32"/>
          <w:lang w:val="en-US" w:eastAsia="zh-CN" w:bidi="ar-SA"/>
        </w:rPr>
        <w:t>落实落细就业优先政策，多渠道增加城乡居民收入。实施低收入群体赋能增收行动，完善社会救助和保障标准与物价上涨挂钩联动机制，及时足额发放支农惠农各项补助补贴，加大对中低收入群体转移支付力度。提高社会保障和公共服务水平，降低居民在住房、医疗、养老、养育、教育等多方面的社会负担和成本压力，增强居民消费信心和动力。</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创新多元化消费场景。</w:t>
      </w:r>
      <w:r>
        <w:rPr>
          <w:rFonts w:hint="eastAsia" w:ascii="仿宋_GB2312" w:hAnsi="仿宋_GB2312" w:eastAsia="仿宋_GB2312" w:cs="仿宋_GB2312"/>
          <w:kern w:val="2"/>
          <w:sz w:val="32"/>
          <w:szCs w:val="32"/>
          <w:lang w:val="en-US" w:eastAsia="zh-CN" w:bidi="ar-SA"/>
        </w:rPr>
        <w:t>全力稳住传统消费，积极发展改善型消费，培育壮大新型消费，围绕“味美尤溪、乐游尤溪、悦动健康”等培养打造消费新场景新模式，培育壮大智能家居、文娱旅游、体育赛事、国货“潮品”等新型消费，大力发展赛事演艺、票根经济、首发经济、电商经济，推动实现跨界联动，激活全域消费。培育壮大数字消费新场景。办好省运会单项竞赛、洋中草根音乐汇等文体、演出活动，拓展消费业态。挖掘人工智能、大数据、虚拟现实等技术与消费的融合点，培育线上线下一体化的智慧消费生态体系。</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积极培育消费新热点。</w:t>
      </w:r>
      <w:r>
        <w:rPr>
          <w:rFonts w:hint="eastAsia" w:ascii="仿宋_GB2312" w:hAnsi="仿宋_GB2312" w:eastAsia="仿宋_GB2312" w:cs="仿宋_GB2312"/>
          <w:kern w:val="2"/>
          <w:sz w:val="32"/>
          <w:szCs w:val="32"/>
          <w:lang w:val="en-US" w:eastAsia="zh-CN" w:bidi="ar-SA"/>
        </w:rPr>
        <w:t>用好“消费券+定向补贴+场景优惠”组合激励政策，紧扣节假日、寒暑假等节点策划系列促销活动，不断培育消费新热点。开发“朱子人生四季”沉浸式主题体验产品。立足尤溪古村特色，结合“桂峰晒秋季”“联合开耕季”“台溪越野跑”等民俗文体活动，配套摄影大赛、农耕体验等互动项目，打造季节性文旅IP。整合永丰茂纸业绿色工厂、再生稻示范基地等资源，推出工业研学与农业观光结合的特色路线，开发“绿色生态游”线路，带动绿色消费。</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大力发展夜间经济、广场经济。</w:t>
      </w:r>
      <w:r>
        <w:rPr>
          <w:rFonts w:hint="eastAsia" w:ascii="仿宋_GB2312" w:hAnsi="仿宋_GB2312" w:eastAsia="仿宋_GB2312" w:cs="仿宋_GB2312"/>
          <w:kern w:val="2"/>
          <w:sz w:val="32"/>
          <w:szCs w:val="32"/>
          <w:lang w:val="en-US" w:eastAsia="zh-CN" w:bidi="ar-SA"/>
        </w:rPr>
        <w:t>在城关镇、西城镇等核心区域发展特色夜市经济街区，结合本地小吃、非遗表演等元素，促进文化演艺、光影科技与本地美食深度融合，打造居民家门口“小商圈”。做大做优紫阳湖—闽中酒店—东方商业广场—经贸大厦为轴线的新城商业带，大力发展餐饮、旅游业。着力推进万达广场商圈建设，提升年轻群体消费和亲子消费吸引力，发展首发经济。</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做优做强消费载体。</w:t>
      </w:r>
      <w:r>
        <w:rPr>
          <w:rFonts w:hint="eastAsia" w:ascii="仿宋_GB2312" w:hAnsi="仿宋_GB2312" w:eastAsia="仿宋_GB2312" w:cs="仿宋_GB2312"/>
          <w:kern w:val="2"/>
          <w:sz w:val="32"/>
          <w:szCs w:val="32"/>
          <w:lang w:val="en-US" w:eastAsia="zh-CN" w:bidi="ar-SA"/>
        </w:rPr>
        <w:t>加强城区商圈建设，做旺万达广场、东方商业广场、开元商业广场等商圈。促进县城区商气人气集聚。完善朱子古街基础设施，做优朱子古街特色商圈，打造“朱子家训”生活实践地，开发“家礼课堂”“古籍修复体验”“宋代点茶”等活态传承项目，让文化变得可参与、可带走。提升省级特色步行街旅游体验。推进三奎新城商贸综合体招商落户。推动乡镇建设商贸中心，改善乡镇商业消费环境，方便居民消费。加快以“尤溪御润财富大酒店—西城文公大饭店—尤溪宾馆—闽中大酒店”为轴带的住宿商圈建设，释放旅游消费潜力。</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优化提升消费环境。</w:t>
      </w:r>
      <w:r>
        <w:rPr>
          <w:rFonts w:hint="eastAsia" w:ascii="仿宋_GB2312" w:hAnsi="仿宋_GB2312" w:eastAsia="仿宋_GB2312" w:cs="仿宋_GB2312"/>
          <w:kern w:val="2"/>
          <w:sz w:val="32"/>
          <w:szCs w:val="32"/>
          <w:lang w:val="en-US" w:eastAsia="zh-CN" w:bidi="ar-SA"/>
        </w:rPr>
        <w:t>全面落实优化消费环境三年行动，深入推进“放心消费在尤溪”行动，持续深化放心消费创建，实现扩面提质增效，努力推进质量安全、明码标价、计量准确、交易公平、纠纷快处等落细落实，确保消费者合法权益维护有力有效，营造贴心、安心、舒心的良好消费环境。加快落实“一城一策”房地产政策，建设更多“好房子”，通过促进房地产发展带动更多消费增量。</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专栏15：提振消费行动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发展“数字+消费”新模式。</w:t>
            </w:r>
            <w:r>
              <w:rPr>
                <w:rFonts w:hint="eastAsia" w:ascii="仿宋_GB2312" w:hAnsi="仿宋_GB2312" w:eastAsia="仿宋_GB2312" w:cs="仿宋_GB2312"/>
                <w:kern w:val="2"/>
                <w:sz w:val="32"/>
                <w:szCs w:val="32"/>
                <w:lang w:val="en-US" w:eastAsia="zh-CN" w:bidi="ar-SA"/>
              </w:rPr>
              <w:t>实施“人工智能+”，推动智慧零售、智慧旅游、智慧广电、智慧养老、智慧家政、数字文化、智能体育等智慧消费。</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建设省级特色步行街</w:t>
            </w:r>
            <w:bookmarkStart w:id="99" w:name="OLE_LINK4"/>
            <w:r>
              <w:rPr>
                <w:rFonts w:hint="eastAsia" w:ascii="仿宋_GB2312" w:hAnsi="仿宋_GB2312" w:eastAsia="仿宋_GB2312" w:cs="仿宋_GB2312"/>
                <w:b/>
                <w:bCs/>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以朱子古街为重点，通过系统性的宋韵风貌改造、深度植入朱子礼乐文化与活态非遗体验，将其从一条商业街提升为可沉浸、可感知的“朱子文化活态博物馆”。</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sz w:val="28"/>
                <w:szCs w:val="28"/>
                <w:highlight w:val="none"/>
              </w:rPr>
            </w:pPr>
            <w:r>
              <w:rPr>
                <w:rFonts w:hint="eastAsia" w:ascii="仿宋_GB2312" w:hAnsi="仿宋_GB2312" w:eastAsia="仿宋_GB2312" w:cs="仿宋_GB2312"/>
                <w:b/>
                <w:bCs/>
                <w:kern w:val="2"/>
                <w:sz w:val="32"/>
                <w:szCs w:val="32"/>
                <w:lang w:val="en-US" w:eastAsia="zh-CN" w:bidi="ar-SA"/>
              </w:rPr>
              <w:t>建设特色夜市经济街区</w:t>
            </w:r>
            <w:bookmarkEnd w:id="99"/>
            <w:r>
              <w:rPr>
                <w:rFonts w:hint="eastAsia" w:ascii="仿宋_GB2312" w:hAnsi="仿宋_GB2312" w:eastAsia="仿宋_GB2312" w:cs="仿宋_GB2312"/>
                <w:b/>
                <w:bCs/>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建设夜间经济街区，引入老字号小吃、沿河夜市餐饮、手工文创、品茶休闲等便民业态，促进文化演艺、光影科技与本地美食的融合。</w:t>
            </w:r>
            <w:r>
              <w:rPr>
                <w:rFonts w:hint="eastAsia" w:ascii="仿宋_GB2312" w:hAnsi="仿宋_GB2312" w:eastAsia="仿宋_GB2312" w:cs="仿宋_GB2312"/>
                <w:kern w:val="2"/>
                <w:sz w:val="32"/>
                <w:szCs w:val="32"/>
                <w:lang w:val="en-US" w:eastAsia="zh-CN" w:bidi="ar-SA"/>
              </w:rPr>
              <w:br w:type="textWrapping"/>
            </w:r>
            <w:r>
              <w:rPr>
                <w:rFonts w:hint="eastAsia" w:ascii="方正仿宋_GB2312" w:hAnsi="方正仿宋_GB2312" w:eastAsia="方正仿宋_GB2312" w:cs="方正仿宋_GB2312"/>
                <w:snapToGrid w:val="0"/>
                <w:color w:val="auto"/>
                <w:kern w:val="2"/>
                <w:sz w:val="32"/>
                <w:szCs w:val="32"/>
                <w:highlight w:val="none"/>
                <w:lang w:val="en-US" w:eastAsia="zh-CN" w:bidi="ar-SA"/>
              </w:rPr>
              <w:t xml:space="preserve">   </w:t>
            </w:r>
            <w:r>
              <w:rPr>
                <w:rFonts w:hint="eastAsia" w:ascii="方正仿宋_GB2312" w:hAnsi="方正仿宋_GB2312" w:eastAsia="方正仿宋_GB2312" w:cs="方正仿宋_GB2312"/>
                <w:b/>
                <w:bCs/>
                <w:snapToGrid w:val="0"/>
                <w:color w:val="auto"/>
                <w:kern w:val="2"/>
                <w:sz w:val="32"/>
                <w:szCs w:val="32"/>
                <w:highlight w:val="none"/>
                <w:lang w:val="en-US" w:eastAsia="zh-CN" w:bidi="ar-SA"/>
              </w:rPr>
              <w:t xml:space="preserve"> </w:t>
            </w:r>
            <w:r>
              <w:rPr>
                <w:rFonts w:hint="eastAsia" w:ascii="仿宋_GB2312" w:hAnsi="仿宋_GB2312" w:eastAsia="仿宋_GB2312" w:cs="仿宋_GB2312"/>
                <w:b/>
                <w:bCs/>
                <w:kern w:val="2"/>
                <w:sz w:val="32"/>
                <w:szCs w:val="32"/>
                <w:lang w:val="en-US" w:eastAsia="zh-CN" w:bidi="ar-SA"/>
              </w:rPr>
              <w:t>实施“放心消费在尤溪”行动。</w:t>
            </w:r>
            <w:r>
              <w:rPr>
                <w:rFonts w:hint="eastAsia" w:ascii="仿宋_GB2312" w:hAnsi="仿宋_GB2312" w:eastAsia="仿宋_GB2312" w:cs="仿宋_GB2312"/>
                <w:kern w:val="2"/>
                <w:sz w:val="32"/>
                <w:szCs w:val="32"/>
                <w:lang w:val="en-US" w:eastAsia="zh-CN" w:bidi="ar-SA"/>
              </w:rPr>
              <w:t>实施放心消费强基、创新消费品质、放心消费诚信计量、放心消费“阳光价格”、放心消费“网购无忧”、放心消费“执法铁拳”等行动。</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00" w:name="_Toc11629"/>
      <w:bookmarkStart w:id="101" w:name="_Toc26525"/>
      <w:r>
        <w:rPr>
          <w:rFonts w:hint="default" w:ascii="黑体" w:hAnsi="黑体" w:eastAsia="黑体" w:cs="黑体"/>
          <w:b w:val="0"/>
          <w:bCs/>
          <w:snapToGrid w:val="0"/>
          <w:color w:val="auto"/>
          <w:szCs w:val="32"/>
          <w:highlight w:val="none"/>
        </w:rPr>
        <w:t>第二节 全力扩大有效投资</w:t>
      </w:r>
      <w:bookmarkEnd w:id="100"/>
      <w:bookmarkEnd w:id="101"/>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 w:hAnsi="仿宋" w:eastAsia="仿宋" w:cs="仿宋"/>
          <w:color w:val="auto"/>
          <w:highlight w:val="none"/>
        </w:rPr>
      </w:pPr>
      <w:r>
        <w:rPr>
          <w:rFonts w:hint="eastAsia" w:ascii="仿宋_GB2312" w:hAnsi="仿宋_GB2312" w:eastAsia="仿宋_GB2312" w:cs="仿宋_GB2312"/>
          <w:kern w:val="2"/>
          <w:sz w:val="32"/>
          <w:szCs w:val="32"/>
          <w:lang w:val="en-US" w:eastAsia="zh-CN" w:bidi="ar-SA"/>
        </w:rPr>
        <w:t>坚持项目建设和配套改革相结合，推动经营主体有充足投资空间“能投资”、有稳定预期信心“敢投资”、具备投资能力和投资效益“愿投资”，着力扩大有效投资。</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做好项目投资谋划。</w:t>
      </w:r>
      <w:r>
        <w:rPr>
          <w:rFonts w:hint="eastAsia" w:ascii="仿宋_GB2312" w:hAnsi="仿宋_GB2312" w:eastAsia="仿宋_GB2312" w:cs="仿宋_GB2312"/>
          <w:kern w:val="2"/>
          <w:sz w:val="32"/>
          <w:szCs w:val="32"/>
          <w:lang w:val="en-US" w:eastAsia="zh-CN" w:bidi="ar-SA"/>
        </w:rPr>
        <w:t>密切关注中央预算内投资、特别国债、专项债券等政策导向、资金投向，超前谋划、滚动更新储备具有引领性、支撑性、税源型的大项目好项目。围绕重点产品、重点行业，加大传统制造业转型升级和新兴产业领域投资。聚焦薄弱环节、薄弱区域，加快补上交通、能源、水利、生态环保等基础设施短板，加大教育、医疗、养老等社会民生领域的投入，强化对人的全面发展投资。更大力度支持“两重”项目，加大保障性住房建设、城市更新等领域的投入，增加改善生产生活条件的投资。瞄准新赛道、新领域，加大科技创新、产业升级、绿色转型等领域投资。</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着力引进优质项目。</w:t>
      </w:r>
      <w:r>
        <w:rPr>
          <w:rFonts w:hint="eastAsia" w:ascii="仿宋_GB2312" w:hAnsi="仿宋_GB2312" w:eastAsia="仿宋_GB2312" w:cs="仿宋_GB2312"/>
          <w:kern w:val="2"/>
          <w:sz w:val="32"/>
          <w:szCs w:val="32"/>
          <w:lang w:val="en-US" w:eastAsia="zh-CN" w:bidi="ar-SA"/>
        </w:rPr>
        <w:t>坚持把招商引资作为“一把手”工程，扎实推进以商招商、乡贤招商、产业链招商，结合纺织、竹木等产业发展，深度梳理论证新一批高质量招商引资项目，强化链主企业带动作用，定向吸引行业龙头、关键配套企业落地。</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 w:hAnsi="仿宋" w:eastAsia="仿宋" w:cs="仿宋"/>
          <w:snapToGrid w:val="0"/>
          <w:color w:val="auto"/>
          <w:szCs w:val="32"/>
          <w:highlight w:val="none"/>
        </w:rPr>
      </w:pPr>
      <w:r>
        <w:rPr>
          <w:rFonts w:hint="eastAsia" w:ascii="楷体_GB2312" w:hAnsi="楷体_GB2312" w:eastAsia="楷体_GB2312" w:cs="楷体_GB2312"/>
          <w:b/>
          <w:bCs/>
          <w:kern w:val="2"/>
          <w:sz w:val="32"/>
          <w:szCs w:val="32"/>
          <w:lang w:val="en-US" w:eastAsia="zh-CN" w:bidi="ar-SA"/>
        </w:rPr>
        <w:t>实施产业链升级行动。</w:t>
      </w:r>
      <w:r>
        <w:rPr>
          <w:rFonts w:hint="eastAsia" w:ascii="仿宋_GB2312" w:hAnsi="仿宋_GB2312" w:eastAsia="仿宋_GB2312" w:cs="仿宋_GB2312"/>
          <w:kern w:val="2"/>
          <w:sz w:val="32"/>
          <w:szCs w:val="32"/>
          <w:lang w:val="en-US" w:eastAsia="zh-CN" w:bidi="ar-SA"/>
        </w:rPr>
        <w:t>聚焦高端纺织、竹木、矿产、现代农业、文旅康养五大优势领域，精准推进产业链升级行动，提升产业核心竞争力。其中，高端纺织产业：重点打造革基布料、锦纶“纵向全产业链”，同步推进棉纺、染整“横向强链”，构建上下游协同发展的产业生态。竹木产业：以竹木精深加工为核心，大力引进一批高端木制品、“以竹代塑”“以竹代木”、纸制品等项目。矿产产业：推进金属矿技改升级与非金属矿精深加工，从“原料输出”向“高附加值产品供给”提质转型。现代农业：引进一批以食用菌、茶叶、水果、生猪、笋竹深加工为主的重点项目，以销售服务、休闲农业为抓手，突破三产融合瓶颈。文旅康养产业：深度开发侠天下、古溪星河、桂峰等景点，发展避暑度假、生态康养产业；围绕朱子文化、古村落资源，引入文旅融合体等项目；招引高端康养酒店、健康管理机构，完善产业配套。紧盯产业前沿趋势。针对新兴产业制定“免租入驻+效益对赌”等组合式政策包，降低企业落地成本。</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完善投资政策保障</w:t>
      </w:r>
      <w:r>
        <w:rPr>
          <w:rFonts w:hint="eastAsia" w:ascii="楷体_GB2312" w:hAnsi="楷体_GB2312" w:eastAsia="楷体_GB2312" w:cs="楷体_GB2312"/>
          <w:b/>
          <w:bCs/>
          <w:kern w:val="2"/>
          <w:sz w:val="32"/>
          <w:szCs w:val="32"/>
          <w:lang w:val="en-US" w:eastAsia="zh" w:bidi="ar-SA"/>
        </w:rPr>
        <w:t>。</w:t>
      </w:r>
      <w:r>
        <w:rPr>
          <w:rFonts w:hint="eastAsia" w:ascii="仿宋_GB2312" w:hAnsi="仿宋_GB2312" w:eastAsia="仿宋_GB2312" w:cs="仿宋_GB2312"/>
          <w:kern w:val="2"/>
          <w:sz w:val="32"/>
          <w:szCs w:val="32"/>
          <w:lang w:val="en-US" w:eastAsia="zh-CN" w:bidi="ar-SA"/>
        </w:rPr>
        <w:t>持续支持“两重”项目建设和“两新”政策落地实施，积极争取中央预算内投资、超长期国债、地方政府专项债券、企业债券支持，强化财政与金融协同联动，以政府投资有效带动社会投资。健全完善“一项目一清单一专班”等工作机制，常态化开展“我为企业解难题”等活动，继续深化“局长走流程”等机制，对卡在用地、环评、能评等环节的项目，实行全生命周期管理服务，做好用地、用水、用能、资金等全方面保障，提高项目开工转化效率。实行重大项目“审批一张图、落实一张表、服务一条龙”机制，通过特事特办、容缺预审、主动上门等“保姆式”服务，加快在建项目早达产、早达效。</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破除阻碍统一市场建设卡点堵点。</w:t>
      </w:r>
      <w:r>
        <w:rPr>
          <w:rFonts w:hint="eastAsia" w:ascii="仿宋_GB2312" w:hAnsi="仿宋_GB2312" w:eastAsia="仿宋_GB2312" w:cs="仿宋_GB2312"/>
          <w:kern w:val="2"/>
          <w:sz w:val="32"/>
          <w:szCs w:val="32"/>
          <w:lang w:val="en-US" w:eastAsia="zh-CN" w:bidi="ar-SA"/>
        </w:rPr>
        <w:t>统一市场基础制度规则，清理市场准入壁垒，破除要素获取、资质认定等方面障碍。规范涉企执法，清理拖欠账款，营造公平透明的经营环境。统一市场监管执法标准，强化反垄断和反不正当竞争执法，形成优质优价、良性竞争的市场秩序。健全流通规则和标准，降低全社会物流成本，完善有利于统一大市场建设的统计、财税、考核制度。</w:t>
      </w:r>
    </w:p>
    <w:p>
      <w:pPr>
        <w:pStyle w:val="2"/>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color w:val="auto"/>
          <w:szCs w:val="32"/>
          <w:highlight w:val="none"/>
        </w:rPr>
      </w:pPr>
      <w:bookmarkStart w:id="102" w:name="_Toc20255"/>
      <w:r>
        <w:rPr>
          <w:rFonts w:hint="eastAsia" w:ascii="方正小标宋简体" w:hAnsi="方正小标宋简体" w:eastAsia="方正小标宋简体" w:cs="方正小标宋简体"/>
          <w:color w:val="auto"/>
          <w:szCs w:val="32"/>
          <w:highlight w:val="none"/>
        </w:rPr>
        <w:t>第六章 着力改造提升，构建现代基建体系</w:t>
      </w:r>
      <w:bookmarkEnd w:id="102"/>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坚持适度超前、科学规划、协同高效原则，统筹存量增量、传统新型基础设施发展，构建集约高效、经济适用、智能绿色、安全可靠的现代化基础设施体系，为尤溪现代化发展提供坚实支撑。</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03" w:name="_Toc17206"/>
      <w:bookmarkStart w:id="104" w:name="_Toc24421"/>
      <w:r>
        <w:rPr>
          <w:rFonts w:hint="default" w:ascii="黑体" w:hAnsi="黑体" w:eastAsia="黑体" w:cs="黑体"/>
          <w:b w:val="0"/>
          <w:bCs/>
          <w:snapToGrid w:val="0"/>
          <w:color w:val="auto"/>
          <w:szCs w:val="32"/>
          <w:highlight w:val="none"/>
        </w:rPr>
        <w:t>第一节 构建内联外畅、多网融合的综合立体交通网络</w:t>
      </w:r>
      <w:bookmarkEnd w:id="103"/>
      <w:bookmarkEnd w:id="104"/>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坚定不移走交通协调发展之路，强化交通先行导向，优化网络布局，提升服务品质，增强综合效能，建设高水平交通强县，全面融入区域发展新格局。</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eastAsia" w:ascii="仿宋" w:hAnsi="仿宋" w:eastAsia="仿宋" w:cs="仿宋"/>
          <w:snapToGrid w:val="0"/>
          <w:color w:val="auto"/>
          <w:szCs w:val="32"/>
          <w:highlight w:val="none"/>
        </w:rPr>
      </w:pPr>
      <w:r>
        <w:rPr>
          <w:rFonts w:hint="eastAsia" w:ascii="楷体_GB2312" w:hAnsi="楷体_GB2312" w:eastAsia="楷体_GB2312" w:cs="楷体_GB2312"/>
          <w:b/>
          <w:bCs/>
          <w:kern w:val="2"/>
          <w:sz w:val="32"/>
          <w:szCs w:val="32"/>
          <w:lang w:val="en-US" w:eastAsia="zh-CN" w:bidi="ar-SA"/>
        </w:rPr>
        <w:t>完善对外交通骨干通道</w:t>
      </w:r>
      <w:r>
        <w:rPr>
          <w:rFonts w:hint="eastAsia" w:ascii="楷体_GB2312" w:hAnsi="楷体_GB2312" w:eastAsia="楷体_GB2312" w:cs="楷体_GB2312"/>
          <w:b/>
          <w:bCs/>
          <w:kern w:val="2"/>
          <w:sz w:val="32"/>
          <w:szCs w:val="32"/>
          <w:lang w:val="en-US" w:eastAsia="zh" w:bidi="ar-SA"/>
        </w:rPr>
        <w:t>。</w:t>
      </w:r>
      <w:r>
        <w:rPr>
          <w:rFonts w:hint="eastAsia" w:ascii="仿宋_GB2312" w:hAnsi="仿宋_GB2312" w:eastAsia="仿宋_GB2312" w:cs="仿宋_GB2312"/>
          <w:kern w:val="2"/>
          <w:sz w:val="32"/>
          <w:szCs w:val="32"/>
          <w:lang w:val="en-US" w:eastAsia="zh-CN" w:bidi="ar-SA"/>
        </w:rPr>
        <w:t>充分发挥尤溪区位优势，积极融入福州都市圈与闽东北协同发展区建设，着力加强与周边地区的交通基础设施互联互通，初步构建福建省连接中西部地区的重要交通通道。加快推进关键过境通道项目的落地实施，有效缓解城区交通枢纽节点压力。积极谋划并跟进对接区域性铁路干线网络的布局规划，争取重要铁路通道过境并设站，提升铁路运输服务能力。大力推进水运体系的开发建设，加快完成闽江尤溪口至尤溪雍口桥航道工程，加快港口码头的规划与实施，拓展内河运输能力，逐步构建多式联运、互联互通的现代化综合交通运输体系，进一步拓宽对外开放通道。</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提升枢纽节点服务能级。</w:t>
      </w:r>
      <w:r>
        <w:rPr>
          <w:rFonts w:hint="eastAsia" w:ascii="仿宋_GB2312" w:hAnsi="仿宋_GB2312" w:eastAsia="仿宋_GB2312" w:cs="仿宋_GB2312"/>
          <w:kern w:val="2"/>
          <w:sz w:val="32"/>
          <w:szCs w:val="32"/>
          <w:lang w:val="en-US" w:eastAsia="zh-CN" w:bidi="ar-SA"/>
        </w:rPr>
        <w:t>依托三明港尤溪港区西滨、雍口作业区，建设千吨级泊位，提高港口吞吐能力，打造闽江内河航运枢纽。提升城市公共空间功能，盘活利用老旧交通枢纽等公益性设施，一体化更新改造火车站、汽车站等与周边地区，提升城市车辆通行效率和承载能级。依托玉池物流园及配套设施建设项目建设，促进多种运输方式高效衔接，构建“枢纽引领、网络支撑”的发展格局。加快构建布局合理、衔接顺畅、运转高效的现代化客货运枢纽网络，切实增强枢纽辐射带动能力和综合服务效能。强化项目支撑引领，统筹整合玉池物流园资源、配套设施功能和多式联运优势，提升枢纽一体化运营水平，打造辐射广泛的区域性商品集散中心。推进尤溪通用机场前期攻坚，完善低空基础设施，构建飞行监控与反制能力体系。</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val="en-US" w:eastAsia="zh-CN"/>
        </w:rPr>
      </w:pPr>
      <w:r>
        <w:rPr>
          <w:rFonts w:hint="default" w:ascii="楷体_GB2312" w:hAnsi="楷体_GB2312" w:eastAsia="楷体_GB2312" w:cs="楷体_GB2312"/>
          <w:b/>
          <w:bCs/>
          <w:kern w:val="2"/>
          <w:sz w:val="32"/>
          <w:szCs w:val="32"/>
          <w:lang w:val="en-US" w:eastAsia="zh-CN" w:bidi="ar-SA"/>
        </w:rPr>
        <w:t>专栏16：交通基础设施建设工程</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昌厦（福）铁路项目。</w:t>
            </w:r>
            <w:r>
              <w:rPr>
                <w:rFonts w:hint="eastAsia" w:ascii="仿宋_GB2312" w:hAnsi="仿宋_GB2312" w:eastAsia="仿宋_GB2312" w:cs="仿宋_GB2312"/>
                <w:kern w:val="2"/>
                <w:sz w:val="32"/>
                <w:szCs w:val="32"/>
                <w:lang w:val="en-US" w:eastAsia="zh-CN" w:bidi="ar-SA"/>
              </w:rPr>
              <w:t>积极融入区域高速铁路网络布局的关键抓手——昌厦（福）铁路项目。持续加强与国家及省级规划部门的对接沟通，全力争取线路优化过境尤溪并设立站点。</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尤溪高速公路网络。</w:t>
            </w:r>
            <w:r>
              <w:rPr>
                <w:rFonts w:hint="eastAsia" w:ascii="仿宋_GB2312" w:hAnsi="仿宋_GB2312" w:eastAsia="仿宋_GB2312" w:cs="仿宋_GB2312"/>
                <w:kern w:val="2"/>
                <w:sz w:val="32"/>
                <w:szCs w:val="32"/>
                <w:lang w:val="en-US" w:eastAsia="zh-CN" w:bidi="ar-SA"/>
              </w:rPr>
              <w:t>福银高速公路支线项目、沙厦高速尤溪西互通及接线工程、莆炎高速中仙互通及接线工程、福银高速尤溪互通及接线工程、福银高速洋中互通接线工程等工程项目开工落地。</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尤溪国省道交通网络。</w:t>
            </w:r>
            <w:r>
              <w:rPr>
                <w:rFonts w:hint="eastAsia" w:ascii="仿宋_GB2312" w:hAnsi="仿宋_GB2312" w:eastAsia="仿宋_GB2312" w:cs="仿宋_GB2312"/>
                <w:kern w:val="2"/>
                <w:sz w:val="32"/>
                <w:szCs w:val="32"/>
                <w:lang w:val="en-US" w:eastAsia="zh-CN" w:bidi="ar-SA"/>
              </w:rPr>
              <w:t>积极推动国道G534线尤溪象山至坂面段公路工程、国道G235线尤溪梅仙汶潭至城关石路段公路工程、国道G235线梅仙坪寨大桥改线工程、国道G534线坂面京口至溪坂段工程、省道S215线尤溪七中至秀村段公路工程等项目。</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尤溪交通配套基础设施。</w:t>
            </w:r>
            <w:r>
              <w:rPr>
                <w:rFonts w:hint="eastAsia" w:ascii="仿宋_GB2312" w:hAnsi="仿宋_GB2312" w:eastAsia="仿宋_GB2312" w:cs="仿宋_GB2312"/>
                <w:kern w:val="2"/>
                <w:sz w:val="32"/>
                <w:szCs w:val="32"/>
                <w:lang w:val="en-US" w:eastAsia="zh-CN" w:bidi="ar-SA"/>
              </w:rPr>
              <w:t xml:space="preserve">规划建设福银高速洋中停车区A区出入口工程、福银高速洋中停车区B区出入口工程、大坪点高速服务区及公交综合场站等项目,进一步完善交通网络基础设施的整体框架。    </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闽江内河航运枢纽。</w:t>
            </w:r>
            <w:r>
              <w:rPr>
                <w:rFonts w:hint="eastAsia" w:ascii="仿宋_GB2312" w:hAnsi="仿宋_GB2312" w:eastAsia="仿宋_GB2312" w:cs="仿宋_GB2312"/>
                <w:kern w:val="2"/>
                <w:sz w:val="32"/>
                <w:szCs w:val="32"/>
                <w:lang w:val="en-US" w:eastAsia="zh-CN" w:bidi="ar-SA"/>
              </w:rPr>
              <w:t>打造一个辐射广泛的区域性商品集散中心。</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交通+旅游项目。</w:t>
            </w:r>
            <w:r>
              <w:rPr>
                <w:rFonts w:hint="eastAsia" w:ascii="仿宋_GB2312" w:hAnsi="仿宋_GB2312" w:eastAsia="仿宋_GB2312" w:cs="仿宋_GB2312"/>
                <w:kern w:val="2"/>
                <w:sz w:val="32"/>
                <w:szCs w:val="32"/>
                <w:lang w:val="en-US" w:eastAsia="zh-CN" w:bidi="ar-SA"/>
              </w:rPr>
              <w:t>联合梯田文旅交通提升工程，古村环线文旅赋能，朱子文化骑行绿道。</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交通+农业项目。</w:t>
            </w:r>
            <w:r>
              <w:rPr>
                <w:rFonts w:hint="eastAsia" w:ascii="仿宋_GB2312" w:hAnsi="仿宋_GB2312" w:eastAsia="仿宋_GB2312" w:cs="仿宋_GB2312"/>
                <w:kern w:val="2"/>
                <w:sz w:val="32"/>
                <w:szCs w:val="32"/>
                <w:lang w:val="en-US" w:eastAsia="zh-CN" w:bidi="ar-SA"/>
              </w:rPr>
              <w:t>金柑产业交通配套，竹木产业物流通道工程。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交通+产业项目。</w:t>
            </w:r>
            <w:r>
              <w:rPr>
                <w:rFonts w:hint="eastAsia" w:ascii="仿宋_GB2312" w:hAnsi="仿宋_GB2312" w:eastAsia="仿宋_GB2312" w:cs="仿宋_GB2312"/>
                <w:kern w:val="2"/>
                <w:sz w:val="32"/>
                <w:szCs w:val="32"/>
                <w:lang w:val="en-US" w:eastAsia="zh-CN" w:bidi="ar-SA"/>
              </w:rPr>
              <w:t>园区设置货运专用通道，配套物流分拨中心及员工通勤站点，开通“多园联运”通勤班车。</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cs="Times New Roman"/>
                <w:color w:val="auto"/>
                <w:highlight w:val="none"/>
              </w:rPr>
            </w:pPr>
            <w:r>
              <w:rPr>
                <w:rFonts w:hint="eastAsia" w:ascii="仿宋_GB2312" w:hAnsi="仿宋_GB2312" w:eastAsia="仿宋_GB2312" w:cs="仿宋_GB2312"/>
                <w:b/>
                <w:bCs/>
                <w:kern w:val="2"/>
                <w:sz w:val="32"/>
                <w:szCs w:val="32"/>
                <w:lang w:val="en-US" w:eastAsia="zh-CN" w:bidi="ar-SA"/>
              </w:rPr>
              <w:t>县级客货邮综合枢纽。</w:t>
            </w:r>
            <w:r>
              <w:rPr>
                <w:rFonts w:hint="eastAsia" w:ascii="仿宋_GB2312" w:hAnsi="仿宋_GB2312" w:eastAsia="仿宋_GB2312" w:cs="仿宋_GB2312"/>
                <w:kern w:val="2"/>
                <w:sz w:val="32"/>
                <w:szCs w:val="32"/>
                <w:lang w:val="en-US" w:eastAsia="zh-CN" w:bidi="ar-SA"/>
              </w:rPr>
              <w:t>整合高铁站、汽车站资源，新建县级客货邮综合枢纽，设客运候车区、快递分拨区及农产品展销区，实现“一次进站、多点服务”。在15个乡镇升级“交通+快递+农产”服务站，配套快件分拣设备及农产收购点，重点乡镇增设冷链柜。在行政村设便民服务点，依托村邮站、便利店叠加快递收发、农产代运功能。开通县城—乡镇—村三级客货邮配送专线。</w:t>
            </w:r>
          </w:p>
        </w:tc>
      </w:tr>
    </w:tbl>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eastAsia" w:ascii="仿宋_GB2312" w:hAnsi="仿宋_GB2312" w:eastAsia="仿宋_GB2312" w:cs="仿宋_GB2312"/>
          <w:kern w:val="2"/>
          <w:sz w:val="32"/>
          <w:szCs w:val="32"/>
          <w:lang w:val="en-US" w:eastAsia="zh-CN" w:bidi="ar-SA"/>
        </w:rPr>
      </w:pPr>
      <w:bookmarkStart w:id="105" w:name="_Toc833"/>
      <w:r>
        <w:rPr>
          <w:rFonts w:hint="default" w:ascii="楷体_GB2312" w:hAnsi="楷体_GB2312" w:eastAsia="楷体_GB2312" w:cs="楷体_GB2312"/>
          <w:b/>
          <w:bCs/>
          <w:kern w:val="2"/>
          <w:sz w:val="32"/>
          <w:szCs w:val="32"/>
          <w:lang w:val="en-US" w:eastAsia="zh-CN" w:bidi="ar-SA"/>
        </w:rPr>
        <w:t>优化县区内部交通网络。</w:t>
      </w:r>
      <w:r>
        <w:rPr>
          <w:rFonts w:hint="eastAsia" w:ascii="仿宋_GB2312" w:hAnsi="仿宋_GB2312" w:eastAsia="仿宋_GB2312" w:cs="仿宋_GB2312"/>
          <w:kern w:val="2"/>
          <w:sz w:val="32"/>
          <w:szCs w:val="32"/>
          <w:lang w:val="en-US" w:eastAsia="zh-CN" w:bidi="ar-SA"/>
        </w:rPr>
        <w:t>积极推进高速公路相关支线及互通接线工程等重大交通基础设施项目的前期工作与建设进程，持续提升高速公路网络服务水平。加快国省道升级改造，推动重要国道路段建设，强化普通公路与高速公路的有效衔接，形成畅通便捷的干线交通网络。健全“四好农村路”可持续发展机制，推动乡镇道路提质升级，逐步实现农村物流配送全覆盖。结合城市更新行动，持续推进城区“断头路”疏通、“瓶颈路”拓宽及微循环路网优化工程，加快建设尤溪主城区连接城南园、城西园等重点片区的高效便捷通道。加快推进老旧街区和城中村道路改造，完善城市市政路网结构，推进东迎宾大道建设，促进城市道路内部循环畅通。因地制宜发展社区小巴、定制公交等特色公共交通，全面提升交通可达性。</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06" w:name="_Toc909"/>
      <w:r>
        <w:rPr>
          <w:rFonts w:hint="default" w:ascii="黑体" w:hAnsi="黑体" w:eastAsia="黑体" w:cs="黑体"/>
          <w:b w:val="0"/>
          <w:bCs/>
          <w:snapToGrid w:val="0"/>
          <w:color w:val="auto"/>
          <w:szCs w:val="32"/>
          <w:highlight w:val="none"/>
        </w:rPr>
        <w:t>第二节 建设安全可靠、高效协同的现代能源保障网络</w:t>
      </w:r>
      <w:bookmarkEnd w:id="105"/>
      <w:bookmarkEnd w:id="106"/>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坚持能源安全与绿色低碳协同发展，优化能源结构，保障能源供应，着力构建现代化能源基础设施体系。</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强化能源供应保障能力。</w:t>
      </w:r>
      <w:r>
        <w:rPr>
          <w:rFonts w:hint="eastAsia" w:ascii="仿宋_GB2312" w:hAnsi="仿宋_GB2312" w:eastAsia="仿宋_GB2312" w:cs="仿宋_GB2312"/>
          <w:kern w:val="2"/>
          <w:sz w:val="32"/>
          <w:szCs w:val="32"/>
          <w:lang w:val="en-US" w:eastAsia="zh-CN" w:bidi="ar-SA"/>
        </w:rPr>
        <w:t>积极推动闽湖抽水蓄能电站这一区域性调节枢纽和备份电源项目的前期工作与开工建设，大幅提升电网调峰能力和事故应急响应水平。有序推进八字桥、管前、台溪等地的集中式风电，以及工业园区屋顶、农业大棚等分布式光伏的规模化开发，重点规划建设与之配套的送出工程、并网点和升压站等关键接入设施，确保绿色电力高效发出、顺畅输送，实现清洁能源与主网安全可靠互联。积极对接省市天然气管网规划，加快完成海西天然气管网工程（福州—三明段），同时布局建设液化天然气储配站，增强能源供应链韧性。</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强化能源输配储运能力。</w:t>
      </w:r>
      <w:r>
        <w:rPr>
          <w:rFonts w:hint="eastAsia" w:ascii="仿宋_GB2312" w:hAnsi="仿宋_GB2312" w:eastAsia="仿宋_GB2312" w:cs="仿宋_GB2312"/>
          <w:kern w:val="2"/>
          <w:sz w:val="32"/>
          <w:szCs w:val="32"/>
          <w:lang w:val="en-US" w:eastAsia="zh-CN" w:bidi="ar-SA"/>
        </w:rPr>
        <w:t>科学规划县域天然气输配管网与城乡智能电网建设，依托三明市千伏网架优化工程，重点强化城南工业集中区、经济开发区等关键产业平台的电网和供气管网架构，有序推进网架补强升级，在保障工业企业用能需求的同时，着力破解乡镇变电站缺失及“单线单变”等突出问题。能源网络布局逐步向城关、梅仙、西滨等中心城镇延伸，建设供电可靠性高、电能质量优的智能电网，保障高端制造业和重要负荷用户的持续稳定用电。同步因地制宜推进天然气配套设施建设，包括高中压调压站、门站等关键节点，逐步构建覆盖主要城镇的环形主干管网，为商业和居民用户提供经济安全的清洁能源供应。</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专栏17：能源基础设施</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尤溪光伏电站项目。</w:t>
            </w:r>
            <w:r>
              <w:rPr>
                <w:rFonts w:hint="eastAsia" w:ascii="仿宋_GB2312" w:hAnsi="仿宋_GB2312" w:eastAsia="仿宋_GB2312" w:cs="仿宋_GB2312"/>
                <w:kern w:val="2"/>
                <w:sz w:val="32"/>
                <w:szCs w:val="32"/>
                <w:lang w:val="en-US" w:eastAsia="zh-CN" w:bidi="ar-SA"/>
              </w:rPr>
              <w:t>积极培育光伏产业，全面实施工业园区屋顶光伏覆盖工程，大力发展农光互补模式，有序探索在大棚种植区等农业设施顶面上架设光伏组件，深度挖掘“板上发电、板下种植”立体复合效益。</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尤溪电网建设项目。</w:t>
            </w:r>
            <w:r>
              <w:rPr>
                <w:rFonts w:hint="eastAsia" w:ascii="仿宋_GB2312" w:hAnsi="仿宋_GB2312" w:eastAsia="仿宋_GB2312" w:cs="仿宋_GB2312"/>
                <w:kern w:val="2"/>
                <w:sz w:val="32"/>
                <w:szCs w:val="32"/>
                <w:lang w:val="en-US" w:eastAsia="zh-CN" w:bidi="ar-SA"/>
              </w:rPr>
              <w:t>依托三明市千伏网架优化工程，尤溪县全面加强高压配电网建设，补强尤溪口、八字桥、香湖、长门、官洋等重点区域推进35千伏网架，升级中仙、潘山等地110千伏电网，解决乡镇变电站缺失和“单线单变”等问题；建设经济开发区城南园增量配电区域源网荷储项目。</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尤溪天然气管网建设项目。</w:t>
            </w:r>
            <w:r>
              <w:rPr>
                <w:rFonts w:hint="eastAsia" w:ascii="仿宋_GB2312" w:hAnsi="仿宋_GB2312" w:eastAsia="仿宋_GB2312" w:cs="仿宋_GB2312"/>
                <w:kern w:val="2"/>
                <w:sz w:val="32"/>
                <w:szCs w:val="32"/>
                <w:lang w:val="en-US" w:eastAsia="zh-CN" w:bidi="ar-SA"/>
              </w:rPr>
              <w:t>加快完成海西天然气管网工程（福州—三明段），增强城南工业集中区、经济开发区等关键产业平台和供气管网建设，同时布局建设液化天然气储配站。</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sz w:val="28"/>
                <w:szCs w:val="28"/>
                <w:highlight w:val="none"/>
              </w:rPr>
            </w:pPr>
            <w:r>
              <w:rPr>
                <w:rFonts w:hint="eastAsia" w:ascii="仿宋_GB2312" w:hAnsi="仿宋_GB2312" w:eastAsia="仿宋_GB2312" w:cs="仿宋_GB2312"/>
                <w:b/>
                <w:bCs/>
                <w:kern w:val="2"/>
                <w:sz w:val="32"/>
                <w:szCs w:val="32"/>
                <w:lang w:val="en-US" w:eastAsia="zh-CN" w:bidi="ar-SA"/>
              </w:rPr>
              <w:t>尤溪燃气建设项目。</w:t>
            </w:r>
            <w:r>
              <w:rPr>
                <w:rFonts w:hint="eastAsia" w:ascii="仿宋_GB2312" w:hAnsi="仿宋_GB2312" w:eastAsia="仿宋_GB2312" w:cs="仿宋_GB2312"/>
                <w:kern w:val="2"/>
                <w:sz w:val="32"/>
                <w:szCs w:val="32"/>
                <w:lang w:val="en-US" w:eastAsia="zh-CN" w:bidi="ar-SA"/>
              </w:rPr>
              <w:t>持续推进燃气基础设施建设，全面提升储气调峰能力，扩大燃气供应站，规划建设乡镇燃气管网，强化能源供应保障能力。推进乡镇燃气管网的延伸铺设，增设农户燃气设备，推动供气设施向农村地区辐射拓展。</w:t>
            </w:r>
          </w:p>
        </w:tc>
      </w:tr>
    </w:tbl>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强化能源调度管理能力。</w:t>
      </w:r>
      <w:r>
        <w:rPr>
          <w:rFonts w:hint="eastAsia" w:ascii="仿宋_GB2312" w:hAnsi="仿宋_GB2312" w:eastAsia="仿宋_GB2312" w:cs="仿宋_GB2312"/>
          <w:kern w:val="2"/>
          <w:sz w:val="32"/>
          <w:szCs w:val="32"/>
          <w:lang w:val="en-US" w:eastAsia="zh-CN" w:bidi="ar-SA"/>
        </w:rPr>
        <w:t>应用人工智能、大数据等数字技术推动能源、信息与经济活动深度融合，整合电网、水电站、光伏电站、储能设施以及重点用能企业的海量数据资源，打造尤溪县能源大数据中心，为能源利用与调度管理提供算力支撑与平台保障。并通过该数字化平台实施精准的需求响应机制，以市场化手段有效挖掘需求侧资源，引导用户在用电高峰时段主动优化用电行为，全面提升整个能源系统的运行效率、经济性和抗风险能力，将被动“保障供给”转变为主动“高效协同”。</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07" w:name="_Toc22804"/>
      <w:bookmarkStart w:id="108" w:name="_Toc22375"/>
      <w:r>
        <w:rPr>
          <w:rFonts w:hint="default" w:ascii="黑体" w:hAnsi="黑体" w:eastAsia="黑体" w:cs="黑体"/>
          <w:b w:val="0"/>
          <w:bCs/>
          <w:snapToGrid w:val="0"/>
          <w:color w:val="auto"/>
          <w:szCs w:val="32"/>
          <w:highlight w:val="none"/>
        </w:rPr>
        <w:t>第三节 构建全域统筹、安全可靠的水利基础设施网络</w:t>
      </w:r>
      <w:bookmarkEnd w:id="107"/>
      <w:bookmarkEnd w:id="108"/>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立足尤溪水资源禀赋与发展需求，以构建互联互通的“大水网”、丰枯调剂的“大水缸”、城乡一体的“大供水”、风险可控的“大安全”四大体系为总目标，统筹水灾害、水资源、水生态、水环境系统治理，为县域高质量发展提供坚实水利支撑。</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完善防洪减灾工程体系。</w:t>
      </w:r>
      <w:r>
        <w:rPr>
          <w:rFonts w:hint="eastAsia" w:ascii="仿宋_GB2312" w:hAnsi="仿宋_GB2312" w:eastAsia="仿宋_GB2312" w:cs="仿宋_GB2312"/>
          <w:kern w:val="2"/>
          <w:sz w:val="32"/>
          <w:szCs w:val="32"/>
          <w:lang w:val="en-US" w:eastAsia="zh-CN" w:bidi="ar-SA"/>
        </w:rPr>
        <w:t>提升防洪排涝能力，新建及加固堤防、护岸，清淤疏浚河道，加快完成闽江尤溪流域防洪三期、四期工程，继续推进中小河流、重点山洪沟治理及山洪灾害防治和病险水库除险加固，持续完善洪涝兼顾、安全可靠的洪涝防御体系。系统推进城区排涝管网提标改造和易涝点整治，建设智慧防汛系统，提升水旱灾害防御能力，最大程度减少灾害损失，保障人民群众生命财产安全。</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优化水资源配置格局。</w:t>
      </w:r>
      <w:r>
        <w:rPr>
          <w:rFonts w:hint="eastAsia" w:ascii="仿宋_GB2312" w:hAnsi="仿宋_GB2312" w:eastAsia="仿宋_GB2312" w:cs="仿宋_GB2312"/>
          <w:kern w:val="2"/>
          <w:sz w:val="32"/>
          <w:szCs w:val="32"/>
          <w:lang w:val="en-US" w:eastAsia="zh-CN" w:bidi="ar-SA"/>
        </w:rPr>
        <w:t>立足尤溪水资源特点和建设基础，按照“分区配置、蓄引并举、多源保障、城乡一体”思路，根据轻重缓急新建一批中小型水库工程。扎实推进坂面水库、闽江北水南调工程及街面水库综合利用项目相关前期工作，力争桂坑水库、禄垄水库等工程早日建成，提升区域水资源统筹调配能力。纵深推进城乡供水一体化建设，为解决城区无应急备用水源问题，开展中部片区引调水项目建设，通过规模化水厂建设、老旧管网改造、智慧水务平台搭建和应急水源地建设，提高水资源综合利用效益和城乡供水保障能力。为了保障供水安全和治理，实施地下管网综合改造工程，包括供水管网漏损控制、雨水排涝设施升级和污水收集系统完善，重点推进城区供水设施改造。</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专栏18：水利基建设施</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bookmarkStart w:id="109" w:name="_Hlk206405185"/>
            <w:r>
              <w:rPr>
                <w:rFonts w:hint="eastAsia" w:ascii="仿宋_GB2312" w:hAnsi="仿宋_GB2312" w:eastAsia="仿宋_GB2312" w:cs="仿宋_GB2312"/>
                <w:b/>
                <w:bCs/>
                <w:kern w:val="2"/>
                <w:sz w:val="32"/>
                <w:szCs w:val="32"/>
                <w:lang w:val="en-US" w:eastAsia="zh-CN" w:bidi="ar-SA"/>
              </w:rPr>
              <w:t>尤溪县防洪减灾工程。</w:t>
            </w:r>
            <w:r>
              <w:rPr>
                <w:rFonts w:hint="eastAsia" w:ascii="仿宋_GB2312" w:hAnsi="仿宋_GB2312" w:eastAsia="仿宋_GB2312" w:cs="仿宋_GB2312"/>
                <w:kern w:val="2"/>
                <w:sz w:val="32"/>
                <w:szCs w:val="32"/>
                <w:lang w:val="en-US" w:eastAsia="zh-CN" w:bidi="ar-SA"/>
              </w:rPr>
              <w:t>全力推进闽江尤溪流域防洪三期工程（尤溪段）、闽江尤溪流域防洪四期工程（尤溪段）建设，对干流沿线重点乡村河段开展防洪提升工程，协助推进闽江干流防洪提升工程（三明段），复核河道行洪能力，完善河道防洪体系；实施青印溪、华兰溪、新岭溪等河道治理工程，继续山洪灾害防治和病险水库除险加固，不断完善洪涝兼顾、安全可靠的洪涝防御体系。</w:t>
            </w:r>
          </w:p>
          <w:bookmarkEnd w:id="109"/>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尤溪县水库工程。</w:t>
            </w:r>
            <w:r>
              <w:rPr>
                <w:rFonts w:hint="eastAsia" w:ascii="仿宋_GB2312" w:hAnsi="仿宋_GB2312" w:eastAsia="仿宋_GB2312" w:cs="仿宋_GB2312"/>
                <w:kern w:val="2"/>
                <w:sz w:val="32"/>
                <w:szCs w:val="32"/>
                <w:lang w:val="en-US" w:eastAsia="zh-CN" w:bidi="ar-SA"/>
              </w:rPr>
              <w:t>推动坂面、桂坑、中仙镇禄垄、新阳天明岩、台溪乡坑园等水库工程以及管前镇底汤水库扩建工程建设，完成拦河大坝、发电厂房等主要水利设施，配套建设灌溉管道。</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尤溪县城市供水管网漏损治理工程。</w:t>
            </w:r>
            <w:r>
              <w:rPr>
                <w:rFonts w:hint="eastAsia" w:ascii="仿宋_GB2312" w:hAnsi="仿宋_GB2312" w:eastAsia="仿宋_GB2312" w:cs="仿宋_GB2312"/>
                <w:kern w:val="2"/>
                <w:sz w:val="32"/>
                <w:szCs w:val="32"/>
                <w:lang w:val="en-US" w:eastAsia="zh-CN" w:bidi="ar-SA"/>
              </w:rPr>
              <w:t>改造尤溪县城区老旧供水管网、二供泵房等设施，完善物联感知设备建设，系统提升供水管网运行效能与智慧化管理水平，有效控制管网漏损。</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尤溪县沈东南重点中型灌区建设工程。</w:t>
            </w:r>
            <w:r>
              <w:rPr>
                <w:rFonts w:hint="eastAsia" w:ascii="仿宋_GB2312" w:hAnsi="仿宋_GB2312" w:eastAsia="仿宋_GB2312" w:cs="仿宋_GB2312"/>
                <w:kern w:val="2"/>
                <w:sz w:val="32"/>
                <w:szCs w:val="32"/>
                <w:lang w:val="en-US" w:eastAsia="zh-CN" w:bidi="ar-SA"/>
              </w:rPr>
              <w:t>项目通过系统推进灌区骨干工程与配套设施的全面建设，重点对引水、输水、配水等环节进行现代化改造与提升。</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尤溪县水资源配置工程。</w:t>
            </w:r>
            <w:r>
              <w:rPr>
                <w:rFonts w:hint="eastAsia" w:ascii="仿宋_GB2312" w:hAnsi="仿宋_GB2312" w:eastAsia="仿宋_GB2312" w:cs="仿宋_GB2312"/>
                <w:kern w:val="2"/>
                <w:sz w:val="32"/>
                <w:szCs w:val="32"/>
                <w:lang w:val="en-US" w:eastAsia="zh-CN" w:bidi="ar-SA"/>
              </w:rPr>
              <w:t>该工程整合了中部片区引调水、闽江北水南调及街面水库综合利用项目，旨在优化区域水资源分配和提升利用效率。一方面依托中部片区引调水工程，建设跨区域输水管道、加压泵站、调蓄水池及配水管网；另一方面积极推进闽江北水南调工程，利用街面水库进行跨流域调水和蓄丰补枯。</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cs="Times New Roman"/>
                <w:color w:val="auto"/>
                <w:highlight w:val="none"/>
              </w:rPr>
            </w:pPr>
            <w:r>
              <w:rPr>
                <w:rFonts w:hint="eastAsia" w:ascii="仿宋_GB2312" w:hAnsi="仿宋_GB2312" w:eastAsia="仿宋_GB2312" w:cs="仿宋_GB2312"/>
                <w:b/>
                <w:bCs/>
                <w:kern w:val="2"/>
                <w:sz w:val="32"/>
                <w:szCs w:val="32"/>
                <w:lang w:val="en-US" w:eastAsia="zh-CN" w:bidi="ar-SA"/>
              </w:rPr>
              <w:t>尤溪县城乡供水一体化项目。</w:t>
            </w:r>
            <w:r>
              <w:rPr>
                <w:rFonts w:hint="eastAsia" w:ascii="仿宋_GB2312" w:hAnsi="仿宋_GB2312" w:eastAsia="仿宋_GB2312" w:cs="仿宋_GB2312"/>
                <w:kern w:val="2"/>
                <w:sz w:val="32"/>
                <w:szCs w:val="32"/>
                <w:lang w:val="en-US" w:eastAsia="zh-CN" w:bidi="ar-SA"/>
              </w:rPr>
              <w:t>重点推进尤溪县城乡供水一体化二期、三期、四期工程及供水基础设施领域设备更新项目建设，实现区域联网供水、乡镇规模供水、单村集中供水，形成水源稳定可靠、规模化水厂覆盖为主、小型供水设施为辅、分散供水为补充的供水工程保障体系，逐步构建“建所到乡、管护到村、服务到户”的三级运行维护机制。</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snapToGrid w:val="0"/>
          <w:color w:val="auto"/>
          <w:szCs w:val="32"/>
          <w:highlight w:val="none"/>
        </w:rPr>
      </w:pPr>
      <w:bookmarkStart w:id="110" w:name="_Toc23831"/>
      <w:bookmarkStart w:id="111" w:name="_Toc7465"/>
      <w:r>
        <w:rPr>
          <w:rFonts w:hint="default" w:ascii="黑体" w:hAnsi="黑体" w:eastAsia="黑体" w:cs="黑体"/>
          <w:b w:val="0"/>
          <w:bCs/>
          <w:snapToGrid w:val="0"/>
          <w:color w:val="auto"/>
          <w:szCs w:val="32"/>
          <w:highlight w:val="none"/>
        </w:rPr>
        <w:t>第四节 布局高速泛在、融合智能的新型基础设施网络</w:t>
      </w:r>
      <w:bookmarkEnd w:id="110"/>
      <w:bookmarkEnd w:id="111"/>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方正仿宋_GB2312" w:cs="Times New Roman"/>
          <w:snapToGrid w:val="0"/>
          <w:color w:val="auto"/>
          <w:szCs w:val="32"/>
          <w:highlight w:val="none"/>
        </w:rPr>
      </w:pPr>
      <w:r>
        <w:rPr>
          <w:rFonts w:hint="default" w:ascii="仿宋_GB2312" w:hAnsi="仿宋_GB2312" w:eastAsia="仿宋_GB2312" w:cs="仿宋_GB2312"/>
          <w:kern w:val="2"/>
          <w:sz w:val="32"/>
          <w:szCs w:val="32"/>
          <w:lang w:val="en-US" w:eastAsia="zh-CN" w:bidi="ar-SA"/>
        </w:rPr>
        <w:t>把握数字化、网络化发展方向，推动数字技术与基础设施深度融合发展，加快建设信息基础设施，稳步发展融合基础设施，前瞻布局创新基础设施，打造闽中地区数字枢纽。</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方正仿宋_GB2312" w:cs="Times New Roman"/>
          <w:snapToGrid w:val="0"/>
          <w:color w:val="auto"/>
          <w:szCs w:val="32"/>
          <w:highlight w:val="none"/>
        </w:rPr>
      </w:pPr>
      <w:r>
        <w:rPr>
          <w:rFonts w:hint="default" w:ascii="楷体_GB2312" w:hAnsi="楷体_GB2312" w:eastAsia="楷体_GB2312" w:cs="楷体_GB2312"/>
          <w:b/>
          <w:bCs/>
          <w:kern w:val="2"/>
          <w:sz w:val="32"/>
          <w:szCs w:val="32"/>
          <w:lang w:val="en-US" w:eastAsia="zh-CN" w:bidi="ar-SA"/>
        </w:rPr>
        <w:t>建设先进信息基础设施。</w:t>
      </w:r>
      <w:r>
        <w:rPr>
          <w:rFonts w:hint="default" w:ascii="仿宋_GB2312" w:hAnsi="仿宋_GB2312" w:eastAsia="仿宋_GB2312" w:cs="仿宋_GB2312"/>
          <w:kern w:val="2"/>
          <w:sz w:val="32"/>
          <w:szCs w:val="32"/>
          <w:lang w:val="en-US" w:eastAsia="zh-CN" w:bidi="ar-SA"/>
        </w:rPr>
        <w:t>深化5G网络建设，加快建设5G基站，实现城区、乡镇、重点行政村及工业园区5G网络连续覆盖与深度覆盖。推进千兆光网升级，实现家庭用户普遍具备千兆接入能力、企业用户普</w:t>
      </w:r>
      <w:r>
        <w:rPr>
          <w:rFonts w:hint="eastAsia" w:ascii="仿宋_GB2312" w:hAnsi="仿宋_GB2312" w:eastAsia="仿宋_GB2312" w:cs="仿宋_GB2312"/>
          <w:kern w:val="2"/>
          <w:sz w:val="32"/>
          <w:szCs w:val="32"/>
          <w:lang w:val="en-US" w:eastAsia="zh-CN" w:bidi="ar-SA"/>
        </w:rPr>
        <w:t>遍具备万兆接入能力。抢抓国家“东数西算”工程机遇，主动争取省级算力节点在尤溪布局落地，着力建设“闽中边缘计算中心”，依托纺织、竹木等行业布局工业互联网，为本地企业提供低时延、高可靠的算力服务和标识解析服务。</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推动传统基础设施升级。</w:t>
      </w:r>
      <w:r>
        <w:rPr>
          <w:rFonts w:hint="eastAsia" w:ascii="仿宋_GB2312" w:hAnsi="仿宋_GB2312" w:eastAsia="仿宋_GB2312" w:cs="仿宋_GB2312"/>
          <w:kern w:val="2"/>
          <w:sz w:val="32"/>
          <w:szCs w:val="32"/>
          <w:lang w:val="en-US" w:eastAsia="zh-CN" w:bidi="ar-SA"/>
        </w:rPr>
        <w:t>为提升基础设施管理效率，整合城管、应急、交通、环保等跨部门业务系统与数据资源，打造集成化智慧监控平台。开发“智慧交通”平台，同步推进智慧公共停车场及配套基础设施建设项目，新建若干智慧立体停车场，同步推进城市智慧管理。同步推进“智慧水利”建设，构建水利数字孪生平台，以数字化、网络化提升水治理现代化水平。建设“智慧能源”管理平台，实现对电网、燃气网、新能源设施的智能调度和故障预警。</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促进基建融合创新应用。</w:t>
      </w:r>
      <w:r>
        <w:rPr>
          <w:rFonts w:hint="eastAsia" w:ascii="仿宋_GB2312" w:hAnsi="仿宋_GB2312" w:eastAsia="仿宋_GB2312" w:cs="仿宋_GB2312"/>
          <w:kern w:val="2"/>
          <w:sz w:val="32"/>
          <w:szCs w:val="32"/>
          <w:lang w:val="en-US" w:eastAsia="zh-CN" w:bidi="ar-SA"/>
        </w:rPr>
        <w:t>推动工业互联网在纺织、竹木、矿产等行业深度应用，打造“产业大脑+未来工厂”新模式，建设纺织、竹木等行业的“产业大脑”，并推动“产业大脑”功能向研发设计、供应链协同、市场预测、绿色低碳全链条延伸。支持企业建设智能工厂、数字化车间，培育发展协同制造、共享制造、个性化定制等新业态。建设数字乡村公共服务平台，深化拓展在乡村治理、惠民服务、产业发展等方面的应用。布局无人机巡检、物流等低空经济基础设施，建设起降场、飞控中心、通信导航等设施。</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专栏19：现代基建设施</w:t>
      </w:r>
    </w:p>
    <w:tbl>
      <w:tblPr>
        <w:tblStyle w:val="19"/>
        <w:tblpPr w:leftFromText="180" w:rightFromText="180" w:vertAnchor="text" w:horzAnchor="page" w:tblpX="1526" w:tblpY="5"/>
        <w:tblOverlap w:val="never"/>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71" w:type="dxa"/>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智慧农业基础设施建设工程。</w:t>
            </w:r>
            <w:r>
              <w:rPr>
                <w:rFonts w:hint="eastAsia" w:ascii="仿宋_GB2312" w:hAnsi="仿宋_GB2312" w:eastAsia="仿宋_GB2312" w:cs="仿宋_GB2312"/>
                <w:kern w:val="2"/>
                <w:sz w:val="32"/>
                <w:szCs w:val="32"/>
                <w:lang w:val="en-US" w:eastAsia="zh-CN" w:bidi="ar-SA"/>
              </w:rPr>
              <w:t>搭建覆盖农业生产、加工、销售全链条的数字化农业发展体系。工程内容包含标准化种植基地、育种工厂数字化管理系统；集冷链物流、智能分拣、数字展销于一体的综合服务中心；线上电商认养平台及线下实体体验中心。同步建成数字农业综合服务数据中心，推动农产品质量安全监管与区块链溯源技术融合创新。</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“数字联合”建设项目。</w:t>
            </w:r>
            <w:r>
              <w:rPr>
                <w:rFonts w:hint="eastAsia" w:ascii="仿宋_GB2312" w:hAnsi="仿宋_GB2312" w:eastAsia="仿宋_GB2312" w:cs="仿宋_GB2312"/>
                <w:kern w:val="2"/>
                <w:sz w:val="32"/>
                <w:szCs w:val="32"/>
                <w:lang w:val="en-US" w:eastAsia="zh-CN" w:bidi="ar-SA"/>
              </w:rPr>
              <w:t>重点加快第五代移动通信网络基础设施建设，逐步实现信号连续覆盖。在景区、公路、河道、山林等关键点位配置水文、气象等专业监测仪器、终端监控视频设备建设立体化、多层次的视频监控网络。</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cs="Times New Roman"/>
                <w:color w:val="auto"/>
                <w:highlight w:val="none"/>
              </w:rPr>
            </w:pPr>
            <w:r>
              <w:rPr>
                <w:rFonts w:hint="eastAsia" w:ascii="仿宋_GB2312" w:hAnsi="仿宋_GB2312" w:eastAsia="仿宋_GB2312" w:cs="仿宋_GB2312"/>
                <w:b/>
                <w:bCs/>
                <w:kern w:val="2"/>
                <w:sz w:val="32"/>
                <w:szCs w:val="32"/>
                <w:lang w:val="en-US" w:eastAsia="zh-CN" w:bidi="ar-SA"/>
              </w:rPr>
              <w:t>尤溪智慧公共停车场项目。</w:t>
            </w:r>
            <w:r>
              <w:rPr>
                <w:rFonts w:hint="eastAsia" w:ascii="仿宋_GB2312" w:hAnsi="仿宋_GB2312" w:eastAsia="仿宋_GB2312" w:cs="仿宋_GB2312"/>
                <w:kern w:val="2"/>
                <w:sz w:val="32"/>
                <w:szCs w:val="32"/>
                <w:lang w:val="en-US" w:eastAsia="zh-CN" w:bidi="ar-SA"/>
              </w:rPr>
              <w:t>数字化停车引导系统、车位状态监测设施、自动计费管理系统等智慧停车核心设施，统筹配套建设加油站、新能源汽车充电桩、广告宣传牌等辅助功能单元，并完善场地内交通标志标线、给排水管网、电气照明、消防安防、环境监控等附属基础设施。</w:t>
            </w:r>
          </w:p>
        </w:tc>
      </w:tr>
    </w:tbl>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仿宋_GB2312" w:hAnsi="方正仿宋_GB2312" w:eastAsia="方正仿宋_GB2312" w:cs="方正仿宋_GB2312"/>
          <w:color w:val="auto"/>
          <w:szCs w:val="32"/>
          <w:highlight w:val="none"/>
        </w:rPr>
      </w:pPr>
      <w:bookmarkStart w:id="112" w:name="_Toc18460"/>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default" w:ascii="Times New Roman" w:hAnsi="Times New Roman" w:eastAsia="黑体" w:cs="Times New Roman"/>
          <w:color w:val="auto"/>
          <w:szCs w:val="32"/>
          <w:highlight w:val="none"/>
        </w:rPr>
      </w:pPr>
      <w:r>
        <w:rPr>
          <w:rFonts w:hint="eastAsia" w:ascii="方正小标宋简体" w:hAnsi="方正小标宋简体" w:eastAsia="方正小标宋简体" w:cs="方正小标宋简体"/>
          <w:color w:val="auto"/>
          <w:szCs w:val="32"/>
          <w:highlight w:val="none"/>
        </w:rPr>
        <w:t>第七章 着力深化改革，激发发展动力活力</w:t>
      </w:r>
      <w:bookmarkEnd w:id="112"/>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持续全面深化改革，营造市场化、法治化、公平化市场竞争环境，吸引更多大投资大项目落地。充分激发民营企业内生动力，引导民间投资向“新”而行，着力打造民营经济发展强县。</w:t>
      </w:r>
      <w:bookmarkStart w:id="113" w:name="_Toc8233"/>
      <w:bookmarkStart w:id="114" w:name="_Toc5951"/>
      <w:bookmarkStart w:id="115" w:name="_Toc159"/>
      <w:bookmarkStart w:id="116" w:name="_Toc25972"/>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17" w:name="_Toc3638"/>
      <w:bookmarkStart w:id="118" w:name="_Toc21001"/>
      <w:bookmarkStart w:id="119" w:name="_Toc28519"/>
      <w:bookmarkStart w:id="120" w:name="_Toc28102"/>
      <w:bookmarkStart w:id="121" w:name="_Toc13653"/>
      <w:bookmarkStart w:id="122" w:name="_Toc19028"/>
      <w:bookmarkStart w:id="123" w:name="_Toc29045"/>
      <w:r>
        <w:rPr>
          <w:rFonts w:hint="default" w:ascii="黑体" w:hAnsi="黑体" w:eastAsia="黑体" w:cs="黑体"/>
          <w:b w:val="0"/>
          <w:bCs/>
          <w:snapToGrid w:val="0"/>
          <w:color w:val="auto"/>
          <w:szCs w:val="32"/>
          <w:highlight w:val="none"/>
        </w:rPr>
        <w:t>第一节 强化全国集体林区林权制度改革试点县建设</w:t>
      </w:r>
      <w:bookmarkEnd w:id="117"/>
      <w:bookmarkEnd w:id="118"/>
      <w:bookmarkEnd w:id="119"/>
      <w:bookmarkEnd w:id="120"/>
      <w:bookmarkEnd w:id="121"/>
      <w:bookmarkEnd w:id="122"/>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 w:hAnsi="仿宋" w:eastAsia="仿宋" w:cs="仿宋"/>
          <w:color w:val="auto"/>
          <w:highlight w:val="none"/>
        </w:rPr>
      </w:pPr>
      <w:r>
        <w:rPr>
          <w:rFonts w:hint="eastAsia" w:ascii="仿宋_GB2312" w:hAnsi="仿宋_GB2312" w:eastAsia="仿宋_GB2312" w:cs="仿宋_GB2312"/>
          <w:kern w:val="2"/>
          <w:sz w:val="32"/>
          <w:szCs w:val="32"/>
          <w:lang w:val="en-US" w:eastAsia="zh-CN" w:bidi="ar-SA"/>
        </w:rPr>
        <w:t>以林长制为抓手，统筹推进“林长制”向“林长治”深化，大胆探索林改创新举措，继续探索林权管理、产业振兴、农民增收、群众致富的全链条林改模式。</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持续推广全民股份合作经营模式。</w:t>
      </w:r>
      <w:r>
        <w:rPr>
          <w:rFonts w:hint="default" w:ascii="仿宋_GB2312" w:hAnsi="仿宋_GB2312" w:eastAsia="仿宋_GB2312" w:cs="仿宋_GB2312"/>
          <w:kern w:val="2"/>
          <w:sz w:val="32"/>
          <w:szCs w:val="32"/>
          <w:lang w:val="en-US" w:eastAsia="zh-CN" w:bidi="ar-SA"/>
        </w:rPr>
        <w:t>在原有基础上深入推广源自基层实践的“上源全民股份合作经营模式”及其衍生出的“麻洋模式”“南洋模式”等全民股份合作经营模式升级版。全面推广林权“林股贷”“按揭贷”“油林贷”等林业普惠金融产品，创新以林下经济、绿竹、油茶等作为抵押物的信贷模式，开发新型绿色金融产品。</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Times New Roman" w:hAnsi="Times New Roman" w:eastAsia="方正仿宋_GB2312" w:cs="Times New Roman"/>
          <w:snapToGrid w:val="0"/>
          <w:color w:val="auto"/>
          <w:szCs w:val="32"/>
          <w:highlight w:val="none"/>
        </w:rPr>
      </w:pPr>
      <w:r>
        <w:rPr>
          <w:rFonts w:hint="default" w:ascii="楷体_GB2312" w:hAnsi="楷体_GB2312" w:eastAsia="楷体_GB2312" w:cs="楷体_GB2312"/>
          <w:b/>
          <w:bCs/>
          <w:kern w:val="2"/>
          <w:sz w:val="32"/>
          <w:szCs w:val="32"/>
          <w:lang w:val="en-US" w:eastAsia="zh-CN" w:bidi="ar-SA"/>
        </w:rPr>
        <w:t>大力发展多元化林业产业</w:t>
      </w:r>
      <w:r>
        <w:rPr>
          <w:rFonts w:hint="default" w:ascii="楷体_GB2312" w:hAnsi="楷体_GB2312" w:eastAsia="楷体_GB2312" w:cs="楷体_GB2312"/>
          <w:b/>
          <w:bCs/>
          <w:kern w:val="2"/>
          <w:sz w:val="32"/>
          <w:szCs w:val="32"/>
          <w:lang w:val="en-US" w:eastAsia="zh" w:bidi="ar-SA"/>
        </w:rPr>
        <w:t>。</w:t>
      </w:r>
      <w:r>
        <w:rPr>
          <w:rFonts w:hint="default" w:ascii="仿宋_GB2312" w:hAnsi="仿宋_GB2312" w:eastAsia="仿宋_GB2312" w:cs="仿宋_GB2312"/>
          <w:kern w:val="2"/>
          <w:sz w:val="32"/>
          <w:szCs w:val="32"/>
          <w:lang w:val="en-US" w:eastAsia="zh-CN" w:bidi="ar-SA"/>
        </w:rPr>
        <w:t>推动竹木工业发展，建设丰产竹林基示范片。结合县竹木园建设，招引大项目大企业入驻园区，推动竹木企业申报FSC、PEFC等国际产品认证，打造竹木制品出口示范基地。推动油茶产业发展，持续提升“中国油茶之乡”品牌，实施油茶新植及低产林改造工程。支持沈郎公司、润香园等生产加工企业发展，建成1个以上交易规模5000吨以上的茶果(籽)收储交易中心，打通农村茶果(籽)销售储备渠道。大力发展林下经济，多元化发展林下种植、林下养殖、林下采集等，探索林菌、林药、林茶等模式，发展茯苓、灵芝、黄精、粗叶榕等地道药材种植，促进林农增收。推动森林康养产业发展，融合文化、旅游等多元业态，打造森林康养基地，实现全域森林康养产业发展。</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积极培育新型林业经营主体。</w:t>
      </w:r>
      <w:r>
        <w:rPr>
          <w:rFonts w:hint="default" w:ascii="仿宋_GB2312" w:hAnsi="仿宋_GB2312" w:eastAsia="仿宋_GB2312" w:cs="仿宋_GB2312"/>
          <w:kern w:val="2"/>
          <w:sz w:val="32"/>
          <w:szCs w:val="32"/>
          <w:lang w:val="en-US" w:eastAsia="zh-CN" w:bidi="ar-SA"/>
        </w:rPr>
        <w:t>按照“多方得益、多式联营、多重服务”的改革思路，大力培育</w:t>
      </w:r>
      <w:r>
        <w:rPr>
          <w:rFonts w:hint="eastAsia" w:ascii="仿宋_GB2312" w:hAnsi="仿宋_GB2312" w:eastAsia="仿宋_GB2312" w:cs="仿宋_GB2312"/>
          <w:kern w:val="2"/>
          <w:sz w:val="32"/>
          <w:szCs w:val="32"/>
          <w:lang w:val="en-US" w:eastAsia="zh-CN" w:bidi="ar-SA"/>
        </w:rPr>
        <w:t>壮大</w:t>
      </w:r>
      <w:r>
        <w:rPr>
          <w:rFonts w:hint="default" w:ascii="仿宋_GB2312" w:hAnsi="仿宋_GB2312" w:eastAsia="仿宋_GB2312" w:cs="仿宋_GB2312"/>
          <w:kern w:val="2"/>
          <w:sz w:val="32"/>
          <w:szCs w:val="32"/>
          <w:lang w:val="en-US" w:eastAsia="zh-CN" w:bidi="ar-SA"/>
        </w:rPr>
        <w:t>家庭林场、林业专业合作社、林业龙头企业等新型林业经营主体，发展林业适度规模经营。做好指导服务和动态管理，促进林业经营组织化、专业化、规模化和集约化。坚持因地制宜、高标准高质量营造用材林，引导各类经营主体加强产业融合，增加林地利用率，提高经营效益。创新合作模式，积极引导社会资本进入林业生产经营领域，鼓励和引导林权所有者流转林权，扶持发展民营林场。</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snapToGrid w:val="0"/>
          <w:color w:val="auto"/>
          <w:szCs w:val="32"/>
          <w:highlight w:val="none"/>
        </w:rPr>
      </w:pPr>
      <w:bookmarkStart w:id="124" w:name="_Toc7022"/>
      <w:bookmarkStart w:id="125" w:name="_Toc21925"/>
      <w:bookmarkStart w:id="126" w:name="_Toc13251"/>
      <w:bookmarkStart w:id="127" w:name="_Toc247"/>
      <w:bookmarkStart w:id="128" w:name="_Toc31129"/>
      <w:bookmarkStart w:id="129" w:name="_Toc25432"/>
      <w:r>
        <w:rPr>
          <w:rFonts w:hint="default" w:ascii="黑体" w:hAnsi="黑体" w:eastAsia="黑体" w:cs="黑体"/>
          <w:b w:val="0"/>
          <w:bCs/>
          <w:snapToGrid w:val="0"/>
          <w:color w:val="auto"/>
          <w:szCs w:val="32"/>
          <w:highlight w:val="none"/>
        </w:rPr>
        <w:t>第二节 深化医药卫生体制改革创新</w:t>
      </w:r>
      <w:bookmarkEnd w:id="124"/>
      <w:bookmarkEnd w:id="125"/>
      <w:bookmarkEnd w:id="126"/>
      <w:bookmarkEnd w:id="127"/>
      <w:bookmarkEnd w:id="128"/>
      <w:bookmarkEnd w:id="12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持续深化医疗、医保、医药“三医联动”改革路径，以“大卫生大健康”为导向，完善疾病预防、医疗救治、健康管理“三位一体”服务新机制，</w:t>
      </w:r>
      <w:r>
        <w:rPr>
          <w:rFonts w:hint="default" w:ascii="仿宋_GB2312" w:hAnsi="仿宋_GB2312" w:eastAsia="仿宋_GB2312" w:cs="仿宋_GB2312"/>
          <w:kern w:val="2"/>
          <w:sz w:val="32"/>
          <w:szCs w:val="32"/>
          <w:lang w:val="en-US" w:eastAsia="zh" w:bidi="ar-SA"/>
        </w:rPr>
        <w:t>组建</w:t>
      </w:r>
      <w:r>
        <w:rPr>
          <w:rFonts w:hint="default" w:ascii="仿宋_GB2312" w:hAnsi="仿宋_GB2312" w:eastAsia="仿宋_GB2312" w:cs="仿宋_GB2312"/>
          <w:kern w:val="2"/>
          <w:sz w:val="32"/>
          <w:szCs w:val="32"/>
          <w:lang w:val="en-US" w:eastAsia="zh-CN" w:bidi="ar-SA"/>
        </w:rPr>
        <w:t>中医医院医共体，构建县域健康共同体，打造可全国推广的“尤溪经验”。</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深化推进县域医共体建设。</w:t>
      </w:r>
      <w:r>
        <w:rPr>
          <w:rFonts w:hint="default" w:ascii="仿宋_GB2312" w:hAnsi="仿宋_GB2312" w:eastAsia="仿宋_GB2312" w:cs="仿宋_GB2312"/>
          <w:kern w:val="2"/>
          <w:sz w:val="32"/>
          <w:szCs w:val="32"/>
          <w:lang w:val="en-US" w:eastAsia="zh-CN" w:bidi="ar-SA"/>
        </w:rPr>
        <w:t>建设医共体“云医院”，远程心电、医学影像诊断中心覆盖全部乡镇卫生院。推进医防协同，运用大数据、人工智能，实现县、乡、村公立医疗卫生机构诊疗、检验检查、电子病历等信息互联互通。构建县乡村一体化慢病协同管理模式，持续推进慢性病“四分”管理、积分制管理，打造智慧健康管理小队，将健康监测延伸至村(社区)。支持建设尤溪县总医院分院医疗服务能力提升项目，更好地确保县域内优质资源覆盖到所有人群，更好地造福人民群众。</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探索建设健康服务共同体。</w:t>
      </w:r>
      <w:r>
        <w:rPr>
          <w:rFonts w:hint="default" w:ascii="仿宋_GB2312" w:hAnsi="仿宋_GB2312" w:eastAsia="仿宋_GB2312" w:cs="仿宋_GB2312"/>
          <w:kern w:val="2"/>
          <w:sz w:val="32"/>
          <w:szCs w:val="32"/>
          <w:lang w:val="en-US" w:eastAsia="zh-CN" w:bidi="ar-SA"/>
        </w:rPr>
        <w:t>进一步整合县域卫生健康资源，促进医防协同、医养结合、医校合作、体卫融合等有效衔接，着力打造城乡一体、医防融合、中西医并重的整合型健康服务共同体，为区域百姓提供“预防—治疗—康复—健康管理”一体化全周期健康服务，构建“健康全程管、卫生有保障、医疗高质量”的现代化卫生健康服务体系。紧密型健共体管理体制和运行机制进一步巩固，“小病在基层，大病不出县”诊疗格局基本形成，由“管医疗”向“管健康”转变。</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发挥数智技术赋能健康卫生服务。</w:t>
      </w:r>
      <w:r>
        <w:rPr>
          <w:rFonts w:hint="default" w:ascii="仿宋_GB2312" w:hAnsi="仿宋_GB2312" w:eastAsia="仿宋_GB2312" w:cs="仿宋_GB2312"/>
          <w:kern w:val="2"/>
          <w:sz w:val="32"/>
          <w:szCs w:val="32"/>
          <w:lang w:val="en-US" w:eastAsia="zh-CN" w:bidi="ar-SA"/>
        </w:rPr>
        <w:t>借助AI技术实现区域健康管护的数字化升级，完成医共体和全民健康管理中心健康信息数据平台与AI智能的深度对接。建立“三医”协同的数据共享机制，推动“三医一张网”建设，实现全领域、全方位数智化。全面提升传染病监测预警、风险评估、流行病学调查等能力，能快速规范开展聚集性疫情应急处置。</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30" w:name="_Toc29817"/>
      <w:bookmarkStart w:id="131" w:name="_Toc22090"/>
      <w:bookmarkStart w:id="132" w:name="_Toc24986"/>
      <w:bookmarkStart w:id="133" w:name="_Toc26827"/>
      <w:bookmarkStart w:id="134" w:name="_Toc5448"/>
      <w:bookmarkStart w:id="135" w:name="_Toc30269"/>
      <w:r>
        <w:rPr>
          <w:rFonts w:hint="default" w:ascii="黑体" w:hAnsi="黑体" w:eastAsia="黑体" w:cs="黑体"/>
          <w:b w:val="0"/>
          <w:bCs/>
          <w:snapToGrid w:val="0"/>
          <w:color w:val="auto"/>
          <w:szCs w:val="32"/>
          <w:highlight w:val="none"/>
        </w:rPr>
        <w:t>第三节 持续探索融媒体改革2.0新模式</w:t>
      </w:r>
      <w:bookmarkEnd w:id="130"/>
      <w:bookmarkEnd w:id="131"/>
      <w:bookmarkEnd w:id="132"/>
      <w:bookmarkEnd w:id="133"/>
      <w:bookmarkEnd w:id="134"/>
      <w:bookmarkEnd w:id="135"/>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积极推动融媒体与上级媒体、区域媒体及商业平台的深度合作，以讲好尤溪故事、传播好尤溪声音为目标，创作更多具有现象级传播力的原创内容。</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持续拓展</w:t>
      </w:r>
      <w:r>
        <w:rPr>
          <w:rFonts w:hint="eastAsia" w:ascii="楷体_GB2312" w:hAnsi="楷体_GB2312" w:eastAsia="楷体_GB2312" w:cs="楷体_GB2312"/>
          <w:b/>
          <w:bCs/>
          <w:kern w:val="2"/>
          <w:sz w:val="32"/>
          <w:szCs w:val="32"/>
          <w:lang w:val="en-US" w:eastAsia="zh-CN" w:bidi="ar-SA"/>
        </w:rPr>
        <w:t>“融媒体+”</w:t>
      </w:r>
      <w:r>
        <w:rPr>
          <w:rFonts w:hint="default" w:ascii="楷体_GB2312" w:hAnsi="楷体_GB2312" w:eastAsia="楷体_GB2312" w:cs="楷体_GB2312"/>
          <w:b/>
          <w:bCs/>
          <w:kern w:val="2"/>
          <w:sz w:val="32"/>
          <w:szCs w:val="32"/>
          <w:lang w:val="en-US" w:eastAsia="zh-CN" w:bidi="ar-SA"/>
        </w:rPr>
        <w:t>模式</w:t>
      </w:r>
      <w:r>
        <w:rPr>
          <w:rFonts w:hint="default" w:ascii="楷体_GB2312" w:hAnsi="楷体_GB2312" w:eastAsia="楷体_GB2312" w:cs="楷体_GB2312"/>
          <w:b/>
          <w:bCs/>
          <w:kern w:val="2"/>
          <w:sz w:val="32"/>
          <w:szCs w:val="32"/>
          <w:lang w:val="en-US" w:eastAsia="zh" w:bidi="ar-SA"/>
        </w:rPr>
        <w:t>。</w:t>
      </w:r>
      <w:r>
        <w:rPr>
          <w:rFonts w:hint="default" w:ascii="仿宋_GB2312" w:hAnsi="仿宋_GB2312" w:eastAsia="仿宋_GB2312" w:cs="仿宋_GB2312"/>
          <w:kern w:val="2"/>
          <w:sz w:val="32"/>
          <w:szCs w:val="32"/>
          <w:lang w:val="en-US" w:eastAsia="zh-CN" w:bidi="ar-SA"/>
        </w:rPr>
        <w:t>推进“融媒体+政务服务商务”，做好政务信息的全媒体宣发推介，打通为民服务的“最后一公里”。探索“融媒体+产业”运营模式，通过集团化运营、企业化管理，设立新闻传播、全媒运营、文旅融合、数智经济四大板块，建立“宣传经营分离、事业产业协同”的现代化管理体系。坚持“新闻+服务+产业”发展思路，构建“舆论引领有力、产业生态完备、区域辐射强劲”发展格局，全面提升尤溪县融媒体中心的传播力、引导力、影响力、公信力，促使融媒体与文化产业协同发展，继续保持国内同类媒体第一阵营。</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进一步深化“四创四融”品牌内涵。</w:t>
      </w:r>
      <w:r>
        <w:rPr>
          <w:rFonts w:hint="default" w:ascii="仿宋_GB2312" w:hAnsi="仿宋_GB2312" w:eastAsia="仿宋_GB2312" w:cs="仿宋_GB2312"/>
          <w:kern w:val="2"/>
          <w:sz w:val="32"/>
          <w:szCs w:val="32"/>
          <w:lang w:val="en-US" w:eastAsia="zh-CN" w:bidi="ar-SA"/>
        </w:rPr>
        <w:t>通过再造媒体融合新体制、构建融合传播新模式、拓展传媒产业新版图、建立人才运行新机制的“四新”举措，从体制改革与创新、技术驱动与赋能、产业拓展与经营、人才引进与培养等层面，推进媒体融合改革迈向“2.0”。坚持“内容为王”原则，深耕本地新闻，打造更多群众喜爱、刷屏热传的现象级传播力的原创融媒产品。批量化创作推出影视作品、短视频、专题宣传片，持续创优作品，打响融媒体品牌。推动视听空间传播从单向传播向双向交互转变，强化视频内容呈现和AI技术引领，实现从“千人一面”到“千人千面”的精准推送，努力打造全国县级媒体融合发展的尤溪新样板。</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36" w:name="_Toc18572"/>
      <w:r>
        <w:rPr>
          <w:rFonts w:hint="default" w:ascii="黑体" w:hAnsi="黑体" w:eastAsia="黑体" w:cs="黑体"/>
          <w:b w:val="0"/>
          <w:bCs/>
          <w:snapToGrid w:val="0"/>
          <w:color w:val="auto"/>
          <w:szCs w:val="32"/>
          <w:highlight w:val="none"/>
        </w:rPr>
        <w:t>第四节 努力营造一流营商环境</w:t>
      </w:r>
      <w:bookmarkEnd w:id="113"/>
      <w:bookmarkEnd w:id="114"/>
      <w:bookmarkEnd w:id="115"/>
      <w:bookmarkEnd w:id="116"/>
      <w:bookmarkEnd w:id="123"/>
      <w:bookmarkEnd w:id="136"/>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面向市场化、法治化、国际化方向，扎实推进市场经营主体培育、政务服务优化、要素保障强化、企业发展服务等重点任务，着力打造一流营商环境。</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加快建设高效便利的政务环境。</w:t>
      </w:r>
      <w:r>
        <w:rPr>
          <w:rFonts w:hint="eastAsia" w:ascii="仿宋_GB2312" w:hAnsi="仿宋_GB2312" w:eastAsia="仿宋_GB2312" w:cs="仿宋_GB2312"/>
          <w:kern w:val="2"/>
          <w:sz w:val="32"/>
          <w:szCs w:val="32"/>
          <w:lang w:val="en-US" w:eastAsia="zh-CN" w:bidi="ar-SA"/>
        </w:rPr>
        <w:t>深化“高效办成一件事”改革，推进“无证明城市”建设，拓展“政务+”多元服务场景，完善“跨域办”“承诺办”“智能办”等服务模式，持续优化提升一体化政务服务能力。建立政企常态化沟通机制，推动亲清政商关系落到实处。加强知识产权保护，促进产学研合作，鼓励和支持我县企业与高校、科研机构建立紧密的合作关系，提升企业技术创新能力。</w:t>
      </w:r>
      <w:bookmarkStart w:id="137" w:name="OLE_LINK1"/>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加快建设公正透明的法治环境</w:t>
      </w:r>
      <w:bookmarkEnd w:id="137"/>
      <w:r>
        <w:rPr>
          <w:rFonts w:hint="default" w:ascii="楷体_GB2312" w:hAnsi="楷体_GB2312" w:eastAsia="楷体_GB2312" w:cs="楷体_GB2312"/>
          <w:b/>
          <w:bCs/>
          <w:kern w:val="2"/>
          <w:sz w:val="32"/>
          <w:szCs w:val="32"/>
          <w:lang w:val="en-US" w:eastAsia="zh" w:bidi="ar-SA"/>
        </w:rPr>
        <w:t>。</w:t>
      </w:r>
      <w:r>
        <w:rPr>
          <w:rFonts w:hint="default" w:ascii="仿宋_GB2312" w:hAnsi="仿宋_GB2312" w:eastAsia="仿宋_GB2312" w:cs="仿宋_GB2312"/>
          <w:kern w:val="2"/>
          <w:sz w:val="32"/>
          <w:szCs w:val="32"/>
          <w:lang w:val="en-US" w:eastAsia="zh-CN" w:bidi="ar-SA"/>
        </w:rPr>
        <w:t>大力规范涉企行政检查，完善涉企行政检查事项清单管理和计划管理制度，最大限度减少对企业正常生产经营活动的干扰。大力推进包容审慎监管和服务型执法，构建“预防为主、轻微免罚、重违严惩、过罚相当、事后回访”的执法模式，彰显执法温度。加大拖欠企业账款清欠力度，强化源头治理和失信惩戒，制定化解清偿计划。</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38" w:name="_Toc19905"/>
      <w:bookmarkStart w:id="139" w:name="_Toc235"/>
      <w:bookmarkStart w:id="140" w:name="_Toc17842"/>
      <w:bookmarkStart w:id="141" w:name="_Toc7937"/>
      <w:bookmarkStart w:id="142" w:name="_Toc21158"/>
      <w:bookmarkStart w:id="143" w:name="_Toc32244"/>
      <w:r>
        <w:rPr>
          <w:rFonts w:hint="default" w:ascii="黑体" w:hAnsi="黑体" w:eastAsia="黑体" w:cs="黑体"/>
          <w:b w:val="0"/>
          <w:bCs/>
          <w:snapToGrid w:val="0"/>
          <w:color w:val="auto"/>
          <w:szCs w:val="32"/>
          <w:highlight w:val="none"/>
        </w:rPr>
        <w:t>第五节 提升民营经济发展活力</w:t>
      </w:r>
      <w:bookmarkEnd w:id="138"/>
      <w:bookmarkEnd w:id="139"/>
      <w:bookmarkEnd w:id="140"/>
      <w:bookmarkEnd w:id="141"/>
      <w:bookmarkEnd w:id="142"/>
      <w:bookmarkEnd w:id="143"/>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充分发挥民营企业市场经济发展主力军作用，着力营造公平竞争市场秩序，主动作为强化要素保障，让尤溪成为企业安心经营、尤商回归创业、青年干事创业的投资热土。</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实施</w:t>
      </w:r>
      <w:r>
        <w:rPr>
          <w:rFonts w:hint="eastAsia" w:ascii="楷体_GB2312" w:hAnsi="楷体_GB2312" w:eastAsia="楷体_GB2312" w:cs="楷体_GB2312"/>
          <w:b/>
          <w:bCs/>
          <w:kern w:val="2"/>
          <w:sz w:val="32"/>
          <w:szCs w:val="32"/>
          <w:lang w:val="en-US" w:eastAsia="zh-CN" w:bidi="ar-SA"/>
        </w:rPr>
        <w:t>“尤商回归”</w:t>
      </w:r>
      <w:r>
        <w:rPr>
          <w:rFonts w:hint="default" w:ascii="楷体_GB2312" w:hAnsi="楷体_GB2312" w:eastAsia="楷体_GB2312" w:cs="楷体_GB2312"/>
          <w:b/>
          <w:bCs/>
          <w:kern w:val="2"/>
          <w:sz w:val="32"/>
          <w:szCs w:val="32"/>
          <w:lang w:val="en-US" w:eastAsia="zh-CN" w:bidi="ar-SA"/>
        </w:rPr>
        <w:t>工程。</w:t>
      </w:r>
      <w:r>
        <w:rPr>
          <w:rFonts w:hint="default" w:ascii="仿宋_GB2312" w:hAnsi="仿宋_GB2312" w:eastAsia="仿宋_GB2312" w:cs="仿宋_GB2312"/>
          <w:kern w:val="2"/>
          <w:sz w:val="32"/>
          <w:szCs w:val="32"/>
          <w:lang w:val="en-US" w:eastAsia="zh-CN" w:bidi="ar-SA"/>
        </w:rPr>
        <w:t>把“尤商回归”作为“一号工程”“一把手工程”抓紧抓实，主要领导定期前往在外尤商集聚地开展招商推介、拜访对接、座谈调研等活动。充分发挥异地尤溪商会的信息资源优势，深度对接洽谈项目，积极为尤商回归铺路搭台。在春节、国庆节等重要时节，组织联乡（镇）领导、联村领导开展走访，邀请尤溪籍企业家和优秀人才参加新春座谈会和乡贤恳谈会，实施以情招商。建立海外尤溪侨胞重点人员名册，利用重要传统节日举办各类海内外视频连线活动，加强与海外尤溪侨胞的交流，增进侨胞故土感情，吸引侨资回尤。</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全力激发创业热情。</w:t>
      </w:r>
      <w:r>
        <w:rPr>
          <w:rFonts w:hint="default" w:ascii="仿宋_GB2312" w:hAnsi="仿宋_GB2312" w:eastAsia="仿宋_GB2312" w:cs="仿宋_GB2312"/>
          <w:kern w:val="2"/>
          <w:sz w:val="32"/>
          <w:szCs w:val="32"/>
          <w:lang w:val="en-US" w:eastAsia="zh-CN" w:bidi="ar-SA"/>
        </w:rPr>
        <w:t>出台优惠政策，积极吸引青年、大学生、新市民扎根尤溪创业创新。推出“青创贷”“创业贷”等普惠金融产品，为符合条件的创业者提供创业担保贷款，缓解创业初期的资金压力。积极创建创业孵化园、创业小镇、创业社区、创业街区、创业村落、小微园、青创园、众创空间等，为创业者提供一站式服务。由政府部门牵头举办民营企业研修班、研学班，为企业家打造互相学习、交流工作经验的平台，引导创业者及时更新思想观念、掌握市场动向。</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助力民营企业发展壮大。</w:t>
      </w:r>
      <w:r>
        <w:rPr>
          <w:rFonts w:hint="default" w:ascii="仿宋_GB2312" w:hAnsi="仿宋_GB2312" w:eastAsia="仿宋_GB2312" w:cs="仿宋_GB2312"/>
          <w:kern w:val="2"/>
          <w:sz w:val="32"/>
          <w:szCs w:val="32"/>
          <w:lang w:val="en-US" w:eastAsia="zh-CN" w:bidi="ar-SA"/>
        </w:rPr>
        <w:t>立足尤溪县域重点产业链发展试点县建设，统筹推进“四链”融合，围绕特色产业链强化重点招商和重点企业服务，促进产业集聚。鼓励民营企业开展技术改造，支持民营企业申报工业领域设备更新特别国债。支持优质企业进入上市后备企业资源库，“一企一策”催化重点后备企业实现挂牌上市。梯次培育壮大民营企业，支持民营企业“智改数转”，积极参与新能源、新材料、人工智能、数据产业等战略性新兴产业和未来产业布局。</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营造公平有序的市场竞争环境。</w:t>
      </w:r>
      <w:r>
        <w:rPr>
          <w:rFonts w:hint="default" w:ascii="仿宋_GB2312" w:hAnsi="仿宋_GB2312" w:eastAsia="仿宋_GB2312" w:cs="仿宋_GB2312"/>
          <w:kern w:val="2"/>
          <w:sz w:val="32"/>
          <w:szCs w:val="32"/>
          <w:lang w:val="en-US" w:eastAsia="zh-CN" w:bidi="ar-SA"/>
        </w:rPr>
        <w:t>贯彻落实新版市场准入负面清单，以环保、卫生、安保、质检等领域为重点，深入清理市场准入壁垒，为民营企业公平参与市场竞争提供最大便利。促进普惠金融发展，实施小微企业贴息政策，支持中小微企业合理的融资需求。鼓励和支持企业家参与涉企政策的制定，全面提高政策的精准性和有效性。</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44" w:name="_Toc2593"/>
      <w:bookmarkStart w:id="145" w:name="_Toc257"/>
      <w:bookmarkStart w:id="146" w:name="_Toc7774"/>
      <w:bookmarkStart w:id="147" w:name="_Toc11465"/>
      <w:bookmarkStart w:id="148" w:name="_Toc13039"/>
      <w:bookmarkStart w:id="149" w:name="_Toc21235"/>
      <w:r>
        <w:rPr>
          <w:rFonts w:hint="default" w:ascii="黑体" w:hAnsi="黑体" w:eastAsia="黑体" w:cs="黑体"/>
          <w:b w:val="0"/>
          <w:bCs/>
          <w:snapToGrid w:val="0"/>
          <w:color w:val="auto"/>
          <w:szCs w:val="32"/>
          <w:highlight w:val="none"/>
        </w:rPr>
        <w:t>第六节 深化国资国企改革</w:t>
      </w:r>
      <w:bookmarkEnd w:id="144"/>
      <w:bookmarkEnd w:id="145"/>
      <w:bookmarkEnd w:id="146"/>
      <w:bookmarkEnd w:id="147"/>
      <w:bookmarkEnd w:id="148"/>
      <w:bookmarkEnd w:id="14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 w:hAnsi="仿宋" w:eastAsia="仿宋" w:cs="仿宋"/>
          <w:snapToGrid w:val="0"/>
          <w:color w:val="auto"/>
          <w:szCs w:val="32"/>
          <w:highlight w:val="none"/>
        </w:rPr>
      </w:pPr>
      <w:r>
        <w:rPr>
          <w:rFonts w:hint="default" w:ascii="仿宋_GB2312" w:hAnsi="仿宋_GB2312" w:eastAsia="仿宋_GB2312" w:cs="仿宋_GB2312"/>
          <w:kern w:val="2"/>
          <w:sz w:val="32"/>
          <w:szCs w:val="32"/>
          <w:lang w:val="en-US" w:eastAsia="zh-CN" w:bidi="ar-SA"/>
        </w:rPr>
        <w:t>发挥国资国企优势，当好服务城市战略、履行社会责任的主力军和先锋队，既在基础设施建设中挑大梁，又扎实做好民生服务工作。</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完善国资国企管理制度。</w:t>
      </w:r>
      <w:r>
        <w:rPr>
          <w:rFonts w:hint="default" w:ascii="仿宋_GB2312" w:hAnsi="仿宋_GB2312" w:eastAsia="仿宋_GB2312" w:cs="仿宋_GB2312"/>
          <w:kern w:val="2"/>
          <w:sz w:val="32"/>
          <w:szCs w:val="32"/>
          <w:lang w:val="en-US" w:eastAsia="zh-CN" w:bidi="ar-SA"/>
        </w:rPr>
        <w:t>制定国企改革“1+N”方案，实施薪酬激励和绩效考评、“三重一大”决策、管理人员能上能下等制度性文件，规范国企科学运营管理。运用数字技术绘制“资产一张图”，搭建资产管理信息化系统，对县属国有企业存量资产全面摸底，建立存量资产台账。加快补齐国企实体化运作短板，拓展国企经营业务范围，提升项目承接建设能力，提升市场竞争水平。强化国有企业科技创新全要素保障，加快建设高能级创新平台。鼓励国资运营公司发起设立新兴产业、科创基金等，支持高科技产业和战略性新兴产业发展。推动国企民企协同发展，开展更广泛领域的交流合作。</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确保国有资产保值增值。</w:t>
      </w:r>
      <w:r>
        <w:rPr>
          <w:rFonts w:hint="default" w:ascii="仿宋_GB2312" w:hAnsi="仿宋_GB2312" w:eastAsia="仿宋_GB2312" w:cs="仿宋_GB2312"/>
          <w:kern w:val="2"/>
          <w:sz w:val="32"/>
          <w:szCs w:val="32"/>
          <w:lang w:val="en-US" w:eastAsia="zh-CN" w:bidi="ar-SA"/>
        </w:rPr>
        <w:t>加强对国有资产的全生命周期管理，严防国有资产流失。系统开展县属国企资产清底行动，全面梳理闲置厂房、土地、特许经营权等存量资产，建立“资产台账—收益评估—盘活方案”清单，通过资产重组、市场化出租等方式盘活存量。优先将县域内停车场运营权、污水处理等优质公用事业资产注入三大集团，确保新增资产中优质经营性资产占比不低于60%。统筹债务风险化解和稳定发展，鼓励国企合理、适度投资，提升信用等级，积极探索供应链金融、资产证券化等创新融资模式，用好用足专项债、政策性金融工具。</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发挥国资国企促进共同富裕的积极作用。</w:t>
      </w:r>
      <w:r>
        <w:rPr>
          <w:rFonts w:hint="default" w:ascii="仿宋_GB2312" w:hAnsi="仿宋_GB2312" w:eastAsia="仿宋_GB2312" w:cs="仿宋_GB2312"/>
          <w:kern w:val="2"/>
          <w:sz w:val="32"/>
          <w:szCs w:val="32"/>
          <w:lang w:val="en-US" w:eastAsia="zh-CN" w:bidi="ar-SA"/>
        </w:rPr>
        <w:t>引导国有企业积极担负促进共同富裕的责任使命，持续做大共富蛋糕，把国有企业服务共同富裕的业务和参与程度作为考核的重要指标。构建国有企业与乡镇结对机制，通过“一企一业”“一镇（乡）一策”推进项目帮扶、资金支持、就业帮扶、消费增收等。鼓励国有企业向山区布局业务，实施一批比较优势明显、带动能力强、就业容量大的共富项目。</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50" w:name="_Toc7361"/>
      <w:bookmarkStart w:id="151" w:name="_Toc9562"/>
      <w:bookmarkStart w:id="152" w:name="_Toc29066"/>
      <w:bookmarkStart w:id="153" w:name="_Toc9326"/>
      <w:r>
        <w:rPr>
          <w:rFonts w:hint="default" w:ascii="黑体" w:hAnsi="黑体" w:eastAsia="黑体" w:cs="黑体"/>
          <w:b w:val="0"/>
          <w:bCs/>
          <w:snapToGrid w:val="0"/>
          <w:color w:val="auto"/>
          <w:szCs w:val="32"/>
          <w:highlight w:val="none"/>
        </w:rPr>
        <w:t>第七节 深化要素市场化配置改革</w:t>
      </w:r>
      <w:bookmarkEnd w:id="150"/>
      <w:bookmarkEnd w:id="151"/>
      <w:bookmarkEnd w:id="152"/>
      <w:bookmarkEnd w:id="153"/>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充分发挥市场在资源配置中的决定性作用，更好发挥政府作用，推动土地、劳动力、资本、技术、数据等生产要素顺畅流动、高效配置，激发全社会内生动力与创新活力。</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推进土地要素市场化配置。</w:t>
      </w:r>
      <w:r>
        <w:rPr>
          <w:rFonts w:hint="default" w:ascii="仿宋_GB2312" w:hAnsi="仿宋_GB2312" w:eastAsia="仿宋_GB2312" w:cs="仿宋_GB2312"/>
          <w:kern w:val="2"/>
          <w:sz w:val="32"/>
          <w:szCs w:val="32"/>
          <w:lang w:val="en-US" w:eastAsia="zh-CN" w:bidi="ar-SA"/>
        </w:rPr>
        <w:t>强化土地一二级市场联动，做好土地投放总量、结构、时序等方面的衔接，加强对土地市场的整体调控。鼓励和引导市场主体通过土地二级市场线上交易，打造“统一开放、公平竞争、协调发展”的现代土地市场体系。构建城乡统一的建设用地市场，深化工业用地市场化配置改革，盘活存量建设用地，保障重点项目用地，完善土地管理体制。鼓励各地综合考虑用途管制、业态融合、安全生产及生态环境保护等因素，探索混合产业用地复合利用，引导工业、仓储、研发、办公、商业、公共服务等用途互利的用地混合布置、空间设施共享。</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推进劳动力要素市场化配置。</w:t>
      </w:r>
      <w:r>
        <w:rPr>
          <w:rFonts w:hint="default" w:ascii="仿宋_GB2312" w:hAnsi="仿宋_GB2312" w:eastAsia="仿宋_GB2312" w:cs="仿宋_GB2312"/>
          <w:kern w:val="2"/>
          <w:sz w:val="32"/>
          <w:szCs w:val="32"/>
          <w:lang w:val="en-US" w:eastAsia="zh-CN" w:bidi="ar-SA"/>
        </w:rPr>
        <w:t>强化常住人口社会保障，畅通劳动力和人才流动渠道。完善城乡一体的基本公共服务政策体系，为劳动力双向自由流动创造有利条件。健全城乡统一人力资源市场体系，完善劳动力市场信息服务平台，促进人力资源合理流动。健全农业转移人口市民化支持政策，推进基本公共服务均等化。</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推进资本要素市场化配置。</w:t>
      </w:r>
      <w:r>
        <w:rPr>
          <w:rFonts w:hint="default" w:ascii="仿宋_GB2312" w:hAnsi="仿宋_GB2312" w:eastAsia="仿宋_GB2312" w:cs="仿宋_GB2312"/>
          <w:kern w:val="2"/>
          <w:sz w:val="32"/>
          <w:szCs w:val="32"/>
          <w:lang w:val="en-US" w:eastAsia="zh-CN" w:bidi="ar-SA"/>
        </w:rPr>
        <w:t>健全多层次资本市场，优化金融服务供给。允许和鼓励农户合法拥有的住房通过出租、入股、合作等方式盘活利用闲置资产。构建多层次、广覆盖、可持续的农村金融服务体系，增强金融机构服务“三农”的能力和动力。深化农村产权制度改革，推进农村集体资产股份合作制改革，盘活农村存量资产。健全农村资产抵押融资机制，完善农村产权交易市场体系。</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推进技术要素市场化配置。</w:t>
      </w:r>
      <w:r>
        <w:rPr>
          <w:rFonts w:hint="default" w:ascii="仿宋_GB2312" w:hAnsi="仿宋_GB2312" w:eastAsia="仿宋_GB2312" w:cs="仿宋_GB2312"/>
          <w:kern w:val="2"/>
          <w:sz w:val="32"/>
          <w:szCs w:val="32"/>
          <w:lang w:val="en-US" w:eastAsia="zh-CN" w:bidi="ar-SA"/>
        </w:rPr>
        <w:t>完善农业科技创新体系，强化产学研协同创新，建立市场导向的农业科技创新机制。健全农业科技成果转化机制，完善科技特派员制度，创新科技服务模式。推动农业生成式人工智能的技术运用，提升农业现代化水平。完善科技创新资源配置方式，推动科技成果转化，促进技术要素与资本要素深度融合。</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推进数据要素市场化配置。</w:t>
      </w:r>
      <w:r>
        <w:rPr>
          <w:rFonts w:hint="default" w:ascii="仿宋_GB2312" w:hAnsi="仿宋_GB2312" w:eastAsia="仿宋_GB2312" w:cs="仿宋_GB2312"/>
          <w:kern w:val="2"/>
          <w:sz w:val="32"/>
          <w:szCs w:val="32"/>
          <w:lang w:val="en-US" w:eastAsia="zh-CN" w:bidi="ar-SA"/>
        </w:rPr>
        <w:t>以数据要素市场化配置改革为主线，全力推动数据资源高质量供给、数据流通路径畅通、数据产业全链条布局、数据生态全方位营造，打造全县统一的数据要素公共服务平台，建设城市可信数据空间。</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54" w:name="_Toc6618"/>
      <w:bookmarkStart w:id="155" w:name="_Toc26364"/>
      <w:bookmarkStart w:id="156" w:name="_Toc28327"/>
      <w:bookmarkStart w:id="157" w:name="_Toc7982"/>
      <w:r>
        <w:rPr>
          <w:rFonts w:hint="default" w:ascii="黑体" w:hAnsi="黑体" w:eastAsia="黑体" w:cs="黑体"/>
          <w:b w:val="0"/>
          <w:bCs/>
          <w:snapToGrid w:val="0"/>
          <w:color w:val="auto"/>
          <w:szCs w:val="32"/>
          <w:highlight w:val="none"/>
        </w:rPr>
        <w:t>第八节 深化财税金融体制改革</w:t>
      </w:r>
      <w:bookmarkEnd w:id="154"/>
      <w:bookmarkEnd w:id="155"/>
      <w:bookmarkEnd w:id="156"/>
      <w:bookmarkEnd w:id="157"/>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统筹推进财税、金融等重点领域改革创新，增强宏观政策取向协同性，为县域经济高质量发展提供有力的财力支撑。</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深化财税体制改革。</w:t>
      </w:r>
      <w:r>
        <w:rPr>
          <w:rFonts w:hint="default" w:ascii="仿宋_GB2312" w:hAnsi="仿宋_GB2312" w:eastAsia="仿宋_GB2312" w:cs="仿宋_GB2312"/>
          <w:kern w:val="2"/>
          <w:sz w:val="32"/>
          <w:szCs w:val="32"/>
          <w:lang w:val="en-US" w:eastAsia="zh-CN" w:bidi="ar-SA"/>
        </w:rPr>
        <w:t>持续深化预算管理制度改革，全面实施预算绩效管理，完善财政转移支付制度，推进财政体制改革，健全政府债务管理制度。推动政府预算精细化管理，深化零基预算改革，通过明确支出安排序列、强化基础支撑保障、分类分层编制预算、完善预算审核机制、健全财力统筹模式等举措，提升财政资金绩效。</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推进财政支持发展方式改革，完善政府产业引导基金和政府融资担保，创新基础设施建设投融资体制机制和产业项目支持政策，引导各类资本支持经济社会发展。完善国有资本经营预算和绩效评价制度，对依托行政权力、政府信用、国有资源资产获取的收入全部纳入政府预算管理。深化税收征管改革，稳妥承接消费税下划地方改革任务。</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深化金融体制改革。</w:t>
      </w:r>
      <w:r>
        <w:rPr>
          <w:rFonts w:hint="default" w:ascii="仿宋_GB2312" w:hAnsi="仿宋_GB2312" w:eastAsia="仿宋_GB2312" w:cs="仿宋_GB2312"/>
          <w:kern w:val="2"/>
          <w:sz w:val="32"/>
          <w:szCs w:val="32"/>
          <w:lang w:val="en-US" w:eastAsia="zh-CN" w:bidi="ar-SA"/>
        </w:rPr>
        <w:t>鼓励和引导金融服务实体经济，着力做好科技金融、普惠金融、养老金融、数字金融“五篇大文章”，为实体经济发展提供更高质量、更有效率的金融服务。健全金融风险预防、预警、处置、问责制度机制。坚持以市场需求为导向，开发兼具安全性、收益性、流动性的个性化、差异化、定制化金融产品。完善金融监管体制，健全金融消费者</w:t>
      </w:r>
      <w:r>
        <w:rPr>
          <w:rFonts w:hint="eastAsia" w:ascii="仿宋_GB2312" w:hAnsi="仿宋_GB2312" w:eastAsia="仿宋_GB2312" w:cs="仿宋_GB2312"/>
          <w:kern w:val="2"/>
          <w:sz w:val="32"/>
          <w:szCs w:val="32"/>
          <w:lang w:val="en-US" w:eastAsia="zh-CN" w:bidi="ar-SA"/>
        </w:rPr>
        <w:t>权益</w:t>
      </w:r>
      <w:r>
        <w:rPr>
          <w:rFonts w:hint="default" w:ascii="仿宋_GB2312" w:hAnsi="仿宋_GB2312" w:eastAsia="仿宋_GB2312" w:cs="仿宋_GB2312"/>
          <w:kern w:val="2"/>
          <w:sz w:val="32"/>
          <w:szCs w:val="32"/>
          <w:lang w:val="en-US" w:eastAsia="zh-CN" w:bidi="ar-SA"/>
        </w:rPr>
        <w:t>保护机制，严厉打击非法金融活动。构建产业资本和金融资本有效隔离的“防火墙”。</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专栏20：重点领域改革清单</w:t>
      </w:r>
    </w:p>
    <w:tbl>
      <w:tblPr>
        <w:tblStyle w:val="19"/>
        <w:tblpPr w:leftFromText="180" w:rightFromText="180" w:vertAnchor="text" w:horzAnchor="page" w:tblpX="1581" w:tblpY="1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9060" w:type="dxa"/>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全国集体林区林权制度改革试点县建设。</w:t>
            </w:r>
            <w:r>
              <w:rPr>
                <w:rFonts w:hint="eastAsia" w:ascii="仿宋_GB2312" w:hAnsi="仿宋_GB2312" w:eastAsia="仿宋_GB2312" w:cs="仿宋_GB2312"/>
                <w:kern w:val="2"/>
                <w:sz w:val="32"/>
                <w:szCs w:val="32"/>
                <w:lang w:val="en-US" w:eastAsia="zh-CN" w:bidi="ar-SA"/>
              </w:rPr>
              <w:t>推广全民股份合作经营模式。探索“合作造林+碳票+林碳贷”的模式，全面推广林权“按揭贷”“油林贷”等林业普惠金融产品。大力发展林下经济，多元化发展林下种植、林下养殖、林下采集等。大力培育家庭林场、林业专业合作社、林业龙头企业等新型林业经营主体。</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融媒体改革2.0。</w:t>
            </w:r>
            <w:r>
              <w:rPr>
                <w:rFonts w:hint="eastAsia" w:ascii="仿宋_GB2312" w:hAnsi="仿宋_GB2312" w:eastAsia="仿宋_GB2312" w:cs="仿宋_GB2312"/>
                <w:kern w:val="2"/>
                <w:sz w:val="32"/>
                <w:szCs w:val="32"/>
                <w:lang w:val="en-US" w:eastAsia="zh-CN" w:bidi="ar-SA"/>
              </w:rPr>
              <w:t>强化“四创四融”品牌建设，拓展“融媒体+”模式。</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国资国企改革。</w:t>
            </w:r>
            <w:r>
              <w:rPr>
                <w:rFonts w:hint="eastAsia" w:ascii="仿宋_GB2312" w:hAnsi="仿宋_GB2312" w:eastAsia="仿宋_GB2312" w:cs="仿宋_GB2312"/>
                <w:kern w:val="2"/>
                <w:sz w:val="32"/>
                <w:szCs w:val="32"/>
                <w:lang w:val="en-US" w:eastAsia="zh-CN" w:bidi="ar-SA"/>
              </w:rPr>
              <w:t>制定国企改革“1+N”方案，运用数字技术绘制“资产一张图”，搭建资产管理信息化系统，对县属国有企业存量资产全面摸底。鼓励国资运营公司发起设立新兴产业、科创基金等，支持高科技产业和战略性新兴产业发展。</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宋体" w:cs="Times New Roman"/>
                <w:color w:val="auto"/>
                <w:kern w:val="0"/>
                <w:highlight w:val="none"/>
                <w:shd w:val="clear" w:color="auto" w:fill="FFFFFF"/>
              </w:rPr>
            </w:pPr>
            <w:r>
              <w:rPr>
                <w:rFonts w:hint="eastAsia" w:ascii="仿宋_GB2312" w:hAnsi="仿宋_GB2312" w:eastAsia="仿宋_GB2312" w:cs="仿宋_GB2312"/>
                <w:b/>
                <w:bCs/>
                <w:kern w:val="2"/>
                <w:sz w:val="32"/>
                <w:szCs w:val="32"/>
                <w:lang w:val="en-US" w:eastAsia="zh-CN" w:bidi="ar-SA"/>
              </w:rPr>
              <w:t>优化营商环境行动。</w:t>
            </w:r>
            <w:r>
              <w:rPr>
                <w:rFonts w:hint="eastAsia" w:ascii="仿宋_GB2312" w:hAnsi="仿宋_GB2312" w:eastAsia="仿宋_GB2312" w:cs="仿宋_GB2312"/>
                <w:kern w:val="2"/>
                <w:sz w:val="32"/>
                <w:szCs w:val="32"/>
                <w:lang w:val="en-US" w:eastAsia="zh-CN" w:bidi="ar-SA"/>
              </w:rPr>
              <w:t>持续深化“放管服”改革。健全新型监管机制，探索实施包容审慎监管。利用福建省知识产权服务平台、知识产权统计分析系统等现代互联网信息技术，提升监测预警能力，实现对知识产权侵权行为精准打击。</w:t>
            </w:r>
          </w:p>
        </w:tc>
      </w:tr>
    </w:tbl>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color w:val="auto"/>
          <w:szCs w:val="32"/>
          <w:highlight w:val="none"/>
        </w:rPr>
      </w:pPr>
    </w:p>
    <w:bookmarkEnd w:id="90"/>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default" w:ascii="Times New Roman" w:hAnsi="Times New Roman" w:eastAsia="黑体" w:cs="Times New Roman"/>
          <w:color w:val="auto"/>
          <w:szCs w:val="32"/>
          <w:highlight w:val="none"/>
        </w:rPr>
      </w:pPr>
      <w:bookmarkStart w:id="158" w:name="_Toc7923"/>
      <w:r>
        <w:rPr>
          <w:rFonts w:hint="eastAsia" w:ascii="方正小标宋简体" w:hAnsi="方正小标宋简体" w:eastAsia="方正小标宋简体" w:cs="方正小标宋简体"/>
          <w:color w:val="auto"/>
          <w:szCs w:val="32"/>
          <w:highlight w:val="none"/>
        </w:rPr>
        <w:t>第八章 着力扩大开放，拓展广阔发展空间</w:t>
      </w:r>
      <w:bookmarkEnd w:id="158"/>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紧扣国家开放大局，着力提升外向型经济发展水平，加快建设高水平对外合作平台，拓展对外开放合作空间，构建全方位、多层次、宽领域的开放型经济新格局。</w:t>
      </w:r>
      <w:bookmarkStart w:id="159" w:name="_Toc7112"/>
      <w:bookmarkStart w:id="160" w:name="_Toc6876"/>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lang w:val="zh-TW"/>
        </w:rPr>
      </w:pPr>
      <w:r>
        <w:rPr>
          <w:rFonts w:hint="default" w:ascii="黑体" w:hAnsi="黑体" w:eastAsia="黑体" w:cs="黑体"/>
          <w:b w:val="0"/>
          <w:bCs/>
          <w:snapToGrid w:val="0"/>
          <w:color w:val="auto"/>
          <w:szCs w:val="32"/>
          <w:highlight w:val="none"/>
        </w:rPr>
        <w:t xml:space="preserve">第一节 </w:t>
      </w:r>
      <w:r>
        <w:rPr>
          <w:rFonts w:hint="default" w:ascii="黑体" w:hAnsi="黑体" w:eastAsia="黑体" w:cs="黑体"/>
          <w:b w:val="0"/>
          <w:bCs/>
          <w:snapToGrid w:val="0"/>
          <w:color w:val="auto"/>
          <w:szCs w:val="32"/>
          <w:highlight w:val="none"/>
          <w:lang w:val="zh-TW"/>
        </w:rPr>
        <w:t>努力</w:t>
      </w:r>
      <w:r>
        <w:rPr>
          <w:rFonts w:hint="default" w:ascii="黑体" w:hAnsi="黑体" w:eastAsia="黑体" w:cs="黑体"/>
          <w:b w:val="0"/>
          <w:bCs/>
          <w:snapToGrid w:val="0"/>
          <w:color w:val="auto"/>
          <w:szCs w:val="32"/>
          <w:highlight w:val="none"/>
        </w:rPr>
        <w:t>提</w:t>
      </w:r>
      <w:r>
        <w:rPr>
          <w:rFonts w:hint="default" w:ascii="黑体" w:hAnsi="黑体" w:eastAsia="黑体" w:cs="黑体"/>
          <w:b w:val="0"/>
          <w:bCs/>
          <w:snapToGrid w:val="0"/>
          <w:color w:val="auto"/>
          <w:szCs w:val="32"/>
          <w:highlight w:val="none"/>
          <w:lang w:val="zh-TW"/>
        </w:rPr>
        <w:t>升外向型经济水平</w:t>
      </w:r>
      <w:bookmarkEnd w:id="159"/>
      <w:bookmarkEnd w:id="160"/>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主动适应国家对外开放新格局，紧扣福建打造开放型经济新高地的战略定位，立足本地特色产业优势，积极拓展外贸空间、优化外资结构、完善外向型经济发展支撑体系，推动形成质量更高、结构更优、竞争力更强的外向型经济发展新局面。</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推动产业外向延伸。</w:t>
      </w:r>
      <w:r>
        <w:rPr>
          <w:rFonts w:hint="default" w:ascii="仿宋_GB2312" w:hAnsi="仿宋_GB2312" w:eastAsia="仿宋_GB2312" w:cs="仿宋_GB2312"/>
          <w:kern w:val="2"/>
          <w:sz w:val="32"/>
          <w:szCs w:val="32"/>
          <w:lang w:val="en-US" w:eastAsia="zh-CN" w:bidi="ar-SA"/>
        </w:rPr>
        <w:t>依托尤溪在竹木制品、纺织品、茶叶等领域形成的产业集群优势，推动传统外贸向高附加值、精深加工方向延伸，进一步增强产业国际竞争力。深入推进省级外贸转型升级示范县建设。支持本土龙头企业发挥引领作用，整合产业链配套资源，推动产品向绿色化、品牌化、精深加工方向升级，持续拓展国际市场份额。通过优化财政引导政策、强化进出口业务培训等措施，支持中小企业申请进出口经营权，拓展自主外贸发展能力，推动县域整体出口主体数量持续增长。</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发展数字贸易新业态。</w:t>
      </w:r>
      <w:r>
        <w:rPr>
          <w:rFonts w:hint="eastAsia" w:ascii="仿宋_GB2312" w:hAnsi="仿宋_GB2312" w:eastAsia="仿宋_GB2312" w:cs="仿宋_GB2312"/>
          <w:kern w:val="2"/>
          <w:sz w:val="32"/>
          <w:szCs w:val="32"/>
          <w:lang w:val="en-US" w:eastAsia="zh-CN" w:bidi="ar-SA"/>
        </w:rPr>
        <w:t>抢抓三明市获批国家跨境电商综合试验区的重大机遇，加快谋划建设“闽中跨境电商特色产业园”。搭建“跨境电商+产业带”对接平台，推广区块链溯源、直播电商等新模式，有序扩大数字领域开放，推动特色产品线上跨境销售常态化。积极对接省级跨境贸易服务平台，争取在跨境电商政策、金融结算、物流通关等方面获得更大支持，提升尤溪产品出海能力。</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拓展经贸合作新空间。</w:t>
      </w:r>
      <w:r>
        <w:rPr>
          <w:rFonts w:hint="default" w:ascii="仿宋_GB2312" w:hAnsi="仿宋_GB2312" w:eastAsia="仿宋_GB2312" w:cs="仿宋_GB2312"/>
          <w:kern w:val="2"/>
          <w:sz w:val="32"/>
          <w:szCs w:val="32"/>
          <w:lang w:val="en-US" w:eastAsia="zh-CN" w:bidi="ar-SA"/>
        </w:rPr>
        <w:t>立足产业基础，稳妥拓展海外市场，支持企业在目标市场设立营销网点、共建合作工厂，推动特色产品深度融入当地产业链供应链。依托三明陆港平台作用，推动建设衔接东南沿海口岸的多条出口物流通道，打造尤溪对接“丝路贸易”的物流支撑节点。健全企业“走出去”政策服务体系，整合海关、税务、金融、法律等优质资源，强化国别风险预警、跨境融资支持和涉外法律保障，推广“订单+保单+信贷”融资方案，为企业海外发展保驾护航。完善外商投资与对外合作分类管理机制，聚焦优势产业开展精准招商，吸引外资参与产业链延链补链强链项目。持续推动政府服务标准化、规范化、法治化建设，建立重点外资项目“一对一”跟踪服务机制，优化审批流程、压缩办理时限，持续优化市场化、法治化、国际化、便利化的双向投资环境。</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lang w:val="zh-TW"/>
        </w:rPr>
      </w:pPr>
      <w:bookmarkStart w:id="161" w:name="_Toc21376"/>
      <w:bookmarkStart w:id="162" w:name="_Toc15623"/>
      <w:r>
        <w:rPr>
          <w:rFonts w:hint="default" w:ascii="黑体" w:hAnsi="黑体" w:eastAsia="黑体" w:cs="黑体"/>
          <w:b w:val="0"/>
          <w:bCs/>
          <w:snapToGrid w:val="0"/>
          <w:color w:val="auto"/>
          <w:szCs w:val="32"/>
          <w:highlight w:val="none"/>
        </w:rPr>
        <w:t xml:space="preserve">第二节 </w:t>
      </w:r>
      <w:r>
        <w:rPr>
          <w:rFonts w:hint="default" w:ascii="黑体" w:hAnsi="黑体" w:eastAsia="黑体" w:cs="黑体"/>
          <w:b w:val="0"/>
          <w:bCs/>
          <w:snapToGrid w:val="0"/>
          <w:color w:val="auto"/>
          <w:szCs w:val="32"/>
          <w:highlight w:val="none"/>
          <w:lang w:val="zh-TW"/>
        </w:rPr>
        <w:t>建设高水平对外合作平台</w:t>
      </w:r>
      <w:bookmarkEnd w:id="161"/>
      <w:bookmarkEnd w:id="162"/>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紧抓国家构建新发展格局、深化区域协作和“一带一路”建设等重大机遇，主动融入更大范围、更宽领域、更深层次的对外合作体系，打造具有地域特色、更高水平的对外开放合作平台。</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鼓励企业稳步</w:t>
      </w:r>
      <w:r>
        <w:rPr>
          <w:rFonts w:hint="eastAsia" w:ascii="楷体_GB2312" w:hAnsi="楷体_GB2312" w:eastAsia="楷体_GB2312" w:cs="楷体_GB2312"/>
          <w:b/>
          <w:bCs/>
          <w:kern w:val="2"/>
          <w:sz w:val="32"/>
          <w:szCs w:val="32"/>
          <w:lang w:val="en-US" w:eastAsia="zh-CN" w:bidi="ar-SA"/>
        </w:rPr>
        <w:t>“走出去”</w:t>
      </w:r>
      <w:r>
        <w:rPr>
          <w:rFonts w:hint="default" w:ascii="楷体_GB2312" w:hAnsi="楷体_GB2312" w:eastAsia="楷体_GB2312" w:cs="楷体_GB2312"/>
          <w:b/>
          <w:bCs/>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引导具备条件的本地企业充分利用“两个市场、两种资源”，面向“一带一路”沿线、RCEP成员国、金砖国家等重点市场，稳妥开展海外布局，拓展国际市场份额。鼓励企业在境外设立营销网点、采购中心、合作工厂等，提升品牌国际影响力和供应链掌控能力。加强“走出去”政策服务，建立健全项目备案、风险预警、金融支持、法律保障等服务机制，为企业对外投资合作提供稳妥、合规、高效的支撑体系。</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提升对外合作的制度化水平。</w:t>
      </w:r>
      <w:r>
        <w:rPr>
          <w:rFonts w:hint="default" w:ascii="仿宋_GB2312" w:hAnsi="仿宋_GB2312" w:eastAsia="仿宋_GB2312" w:cs="仿宋_GB2312"/>
          <w:kern w:val="2"/>
          <w:sz w:val="32"/>
          <w:szCs w:val="32"/>
          <w:lang w:val="en-US" w:eastAsia="zh-CN" w:bidi="ar-SA"/>
        </w:rPr>
        <w:t>持续完善外向型发展制度支撑，健全开放合作顶层设计与配套政策。推动建立外商投资、外贸企业、对外合作主体的分类管理和精准服务机制，提升政府服务的规范化、法治化水平。强化与境外商协会、行业组织、驻华机构的常态化联系，深化信息共享、项目对接、资源互补，推动尤溪对外合作从项目导向向制度协同、规则衔接转变，为高水平开放提供持续动能。</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建设多层级对外推介平台。</w:t>
      </w:r>
      <w:r>
        <w:rPr>
          <w:rFonts w:hint="default" w:ascii="仿宋_GB2312" w:hAnsi="仿宋_GB2312" w:eastAsia="仿宋_GB2312" w:cs="仿宋_GB2312"/>
          <w:kern w:val="2"/>
          <w:sz w:val="32"/>
          <w:szCs w:val="32"/>
          <w:lang w:val="en-US" w:eastAsia="zh-CN" w:bidi="ar-SA"/>
        </w:rPr>
        <w:t>聚焦资源集聚型、展示引领型的重大经贸平台，主动对接中国国际进口博览会、投洽会、“6·18”等省市重点展会，组织企业参展参会，展示尤溪产业特色和营商环境。依托“投资福建”移动端推介平台、福建商务微信公众号等线上载体，构建常态化、数字化招商推广体系。建立重点客商数据库和项目跟踪机制，推动形成线上线下互补、境内境外联动的招商推介新格局。</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lang w:val="zh-TW"/>
        </w:rPr>
      </w:pPr>
      <w:bookmarkStart w:id="163" w:name="_Toc22563"/>
      <w:bookmarkStart w:id="164" w:name="_Toc26021"/>
      <w:bookmarkStart w:id="165" w:name="_Toc32756"/>
      <w:bookmarkStart w:id="166" w:name="_Toc9014"/>
      <w:bookmarkStart w:id="167" w:name="_Toc32694"/>
      <w:bookmarkStart w:id="168" w:name="_Toc3906"/>
      <w:r>
        <w:rPr>
          <w:rFonts w:hint="default" w:ascii="黑体" w:hAnsi="黑体" w:eastAsia="黑体" w:cs="黑体"/>
          <w:b w:val="0"/>
          <w:bCs/>
          <w:snapToGrid w:val="0"/>
          <w:color w:val="auto"/>
          <w:szCs w:val="32"/>
          <w:highlight w:val="none"/>
        </w:rPr>
        <w:t xml:space="preserve">第三节 </w:t>
      </w:r>
      <w:r>
        <w:rPr>
          <w:rFonts w:hint="default" w:ascii="黑体" w:hAnsi="黑体" w:eastAsia="黑体" w:cs="黑体"/>
          <w:b w:val="0"/>
          <w:bCs/>
          <w:snapToGrid w:val="0"/>
          <w:color w:val="auto"/>
          <w:szCs w:val="32"/>
          <w:highlight w:val="none"/>
          <w:lang w:val="zh-TW"/>
        </w:rPr>
        <w:t>深化</w:t>
      </w:r>
      <w:r>
        <w:rPr>
          <w:rFonts w:hint="default" w:ascii="黑体" w:hAnsi="黑体" w:eastAsia="黑体" w:cs="黑体"/>
          <w:b w:val="0"/>
          <w:bCs/>
          <w:snapToGrid w:val="0"/>
          <w:color w:val="auto"/>
          <w:szCs w:val="32"/>
          <w:highlight w:val="none"/>
        </w:rPr>
        <w:t>尤台</w:t>
      </w:r>
      <w:r>
        <w:rPr>
          <w:rFonts w:hint="default" w:ascii="黑体" w:hAnsi="黑体" w:eastAsia="黑体" w:cs="黑体"/>
          <w:b w:val="0"/>
          <w:bCs/>
          <w:snapToGrid w:val="0"/>
          <w:color w:val="auto"/>
          <w:szCs w:val="32"/>
          <w:highlight w:val="none"/>
          <w:lang w:val="zh-TW"/>
        </w:rPr>
        <w:t>交流合作</w:t>
      </w:r>
      <w:bookmarkEnd w:id="163"/>
      <w:bookmarkEnd w:id="164"/>
      <w:bookmarkEnd w:id="165"/>
      <w:bookmarkEnd w:id="166"/>
      <w:bookmarkEnd w:id="167"/>
      <w:bookmarkEnd w:id="168"/>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深入贯彻落实省委、省政府关于探索两岸融合发展新路的战略部署，抢抓建设两岸融合发展示范区的政策机遇，积极推进经贸、农业、人文、青年等多领域深度合作，构建制度完善、机制顺畅、情感融合的尤台融合发展新格局。</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拓展经贸合作空间。</w:t>
      </w:r>
      <w:r>
        <w:rPr>
          <w:rFonts w:hint="default" w:ascii="仿宋_GB2312" w:hAnsi="仿宋_GB2312" w:eastAsia="仿宋_GB2312" w:cs="仿宋_GB2312"/>
          <w:kern w:val="2"/>
          <w:sz w:val="32"/>
          <w:szCs w:val="32"/>
          <w:lang w:val="en-US" w:eastAsia="zh-CN" w:bidi="ar-SA"/>
        </w:rPr>
        <w:t>聚焦电子信息、节能环保、装备制造等领域台资企业，积极承接优质项目转移，拓展产业链协作空间。规划建设“尤台合作共享空间”“尤台青年创业基地”，吸引台湾青年在尤溪创新创业。力争打造尤台融合重点产业，建设一批转型升级、产才融合的示范园区和项目集群。持续优化招商机制，重点引进一批在精品农业、文旅康养、文化创意等领域具有示范效应的台资台企，充分发挥台属和民间组织在引资引智中的桥梁作用，扩大优质资源集聚效应。</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深化农业融合发展。</w:t>
      </w:r>
      <w:r>
        <w:rPr>
          <w:rFonts w:hint="default" w:ascii="仿宋_GB2312" w:hAnsi="仿宋_GB2312" w:eastAsia="仿宋_GB2312" w:cs="仿宋_GB2312"/>
          <w:kern w:val="2"/>
          <w:sz w:val="32"/>
          <w:szCs w:val="32"/>
          <w:lang w:val="en-US" w:eastAsia="zh-CN" w:bidi="ar-SA"/>
        </w:rPr>
        <w:t>依托洋中镇后楼村等区域，创建闽台农业融合发展示范基地，持续引入台湾农业“五新”成果，推广生态种养、精致农业、休闲农业等先进模式，打造若干乡村振兴合作样板村。鼓励台湾民宿运营管理团队入驻，植入台湾元素，推动我县观光、体验、度假等现代农业业态提质升级。继续拓展林下经济、特色农产品、生物制药等合作领域，依托海峡两岸林博会、产业联盟等平台，深化尤台农林经济融合发展。</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强化人文交流合作。</w:t>
      </w:r>
      <w:r>
        <w:rPr>
          <w:rFonts w:hint="default" w:ascii="仿宋_GB2312" w:hAnsi="仿宋_GB2312" w:eastAsia="仿宋_GB2312" w:cs="仿宋_GB2312"/>
          <w:kern w:val="2"/>
          <w:sz w:val="32"/>
          <w:szCs w:val="32"/>
          <w:lang w:val="en-US" w:eastAsia="zh-CN" w:bidi="ar-SA"/>
        </w:rPr>
        <w:t>以尤溪海峡两岸朱子文化交流基地为平台，鼓励两岸学者和专业机构参与朱子文化传承创新研究，持续办好“朱子礼乐·儒风雅韵”品牌系列活动，提升“朱子祭典”“朱子之路”研学等在两岸的品牌影响力，打造全国知名的两岸文化交流高地。更好发挥海峡两岸职业教育交流基地作用，完善青年交流服务机制，支持台湾高校、青年组织与我县中小学开展结对合作，拓展青少年体育、艺术、科技等领域互动。</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提升在尤台胞台企获得感。</w:t>
      </w:r>
      <w:r>
        <w:rPr>
          <w:rFonts w:hint="default" w:ascii="仿宋_GB2312" w:hAnsi="仿宋_GB2312" w:eastAsia="仿宋_GB2312" w:cs="仿宋_GB2312"/>
          <w:kern w:val="2"/>
          <w:sz w:val="32"/>
          <w:szCs w:val="32"/>
          <w:lang w:val="en-US" w:eastAsia="zh-CN" w:bidi="ar-SA"/>
        </w:rPr>
        <w:t>持续健全台胞在尤创业、就业、生活等方面的服务支持体系，构建更加包容、便利、友好的融合发展环境。统筹创业扶持、住房保障、旅游消费等资源配置，提升台胞来尤发展的综合承载力。探索建立台资项目全流程服务机制，推动政务审批、要素保障、落地运营等环节协同高效，提升台资企业投资便利度和发展信心。鼓励在尤台胞依法有序参与基层治理，扩大融合发展参与面，增强台胞归属感和认同感。</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专栏21：着力扩大开放重点工程</w:t>
      </w:r>
    </w:p>
    <w:tbl>
      <w:tblPr>
        <w:tblStyle w:val="1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9071" w:type="dxa"/>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尤溪县西滨临港工业地块项目。</w:t>
            </w:r>
            <w:r>
              <w:rPr>
                <w:rFonts w:hint="eastAsia" w:ascii="仿宋_GB2312" w:hAnsi="仿宋_GB2312" w:eastAsia="仿宋_GB2312" w:cs="仿宋_GB2312"/>
                <w:kern w:val="2"/>
                <w:sz w:val="32"/>
                <w:szCs w:val="32"/>
                <w:lang w:val="en-US" w:eastAsia="zh-CN" w:bidi="ar-SA"/>
              </w:rPr>
              <w:t>项目规划建设临港保税物流区、生产加工区、配套服务中心和港口物流区等功能板块，打造闽西南航运物流集散中心，全面融入闽江口港口经济圈，推动绿色农业、新型工业与生态旅游业三产融合，打造全省高开放度的功能型平台。</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外贸转型升级示范工程。</w:t>
            </w:r>
            <w:r>
              <w:rPr>
                <w:rFonts w:hint="eastAsia" w:ascii="仿宋_GB2312" w:hAnsi="仿宋_GB2312" w:eastAsia="仿宋_GB2312" w:cs="仿宋_GB2312"/>
                <w:kern w:val="2"/>
                <w:sz w:val="32"/>
                <w:szCs w:val="32"/>
                <w:lang w:val="en-US" w:eastAsia="zh-CN" w:bidi="ar-SA"/>
              </w:rPr>
              <w:t>推进省级外贸转型升级示范县建设，重点发展竹木制品、纺织品等产业集群，提升产业国际竞争力。</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多层级招商推介平台构建工程。</w:t>
            </w:r>
            <w:r>
              <w:rPr>
                <w:rFonts w:hint="eastAsia" w:ascii="仿宋_GB2312" w:hAnsi="仿宋_GB2312" w:eastAsia="仿宋_GB2312" w:cs="仿宋_GB2312"/>
                <w:kern w:val="2"/>
                <w:sz w:val="32"/>
                <w:szCs w:val="32"/>
                <w:lang w:val="en-US" w:eastAsia="zh-CN" w:bidi="ar-SA"/>
              </w:rPr>
              <w:t>依托进博会、投洽会等重点展会及“投资福建”线上平台，构建联动招商新格局。</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三明陆港物流通道建设工程。</w:t>
            </w:r>
            <w:r>
              <w:rPr>
                <w:rFonts w:hint="eastAsia" w:ascii="仿宋_GB2312" w:hAnsi="仿宋_GB2312" w:eastAsia="仿宋_GB2312" w:cs="仿宋_GB2312"/>
                <w:kern w:val="2"/>
                <w:sz w:val="32"/>
                <w:szCs w:val="32"/>
                <w:lang w:val="en-US" w:eastAsia="zh-CN" w:bidi="ar-SA"/>
              </w:rPr>
              <w:t>推动建设连接东南沿海港口的出口物流通道，打造对接“丝路贸易”的物流枢纽。</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国际教育合作基地建设计划。</w:t>
            </w:r>
            <w:r>
              <w:rPr>
                <w:rFonts w:hint="eastAsia" w:ascii="仿宋_GB2312" w:hAnsi="仿宋_GB2312" w:eastAsia="仿宋_GB2312" w:cs="仿宋_GB2312"/>
                <w:kern w:val="2"/>
                <w:sz w:val="32"/>
                <w:szCs w:val="32"/>
                <w:lang w:val="en-US" w:eastAsia="zh-CN" w:bidi="ar-SA"/>
              </w:rPr>
              <w:t>推动本地院校与“一带一路”沿线国家院校共建教育交流基地。</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尤台合作共享空间与青年创业基地建设工程。</w:t>
            </w:r>
            <w:r>
              <w:rPr>
                <w:rFonts w:hint="eastAsia" w:ascii="仿宋_GB2312" w:hAnsi="仿宋_GB2312" w:eastAsia="仿宋_GB2312" w:cs="仿宋_GB2312"/>
                <w:kern w:val="2"/>
                <w:sz w:val="32"/>
                <w:szCs w:val="32"/>
                <w:lang w:val="en-US" w:eastAsia="zh-CN" w:bidi="ar-SA"/>
              </w:rPr>
              <w:t>规划建设台青创业平台，吸引台湾青年来尤创新创业。</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闽台农业融合发展示范基地。</w:t>
            </w:r>
            <w:r>
              <w:rPr>
                <w:rFonts w:hint="eastAsia" w:ascii="仿宋_GB2312" w:hAnsi="仿宋_GB2312" w:eastAsia="仿宋_GB2312" w:cs="仿宋_GB2312"/>
                <w:kern w:val="2"/>
                <w:sz w:val="32"/>
                <w:szCs w:val="32"/>
                <w:lang w:val="en-US" w:eastAsia="zh-CN" w:bidi="ar-SA"/>
              </w:rPr>
              <w:t>引入台湾农业“五新”技术，发展精致农业、休闲农庄，打造乡村振兴合作样板。</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kern w:val="0"/>
                <w:sz w:val="28"/>
                <w:szCs w:val="28"/>
                <w:highlight w:val="none"/>
                <w:shd w:val="clear" w:color="auto" w:fill="FFFFFF"/>
              </w:rPr>
            </w:pPr>
            <w:r>
              <w:rPr>
                <w:rFonts w:hint="eastAsia" w:ascii="仿宋_GB2312" w:hAnsi="仿宋_GB2312" w:eastAsia="仿宋_GB2312" w:cs="仿宋_GB2312"/>
                <w:b/>
                <w:bCs/>
                <w:kern w:val="2"/>
                <w:sz w:val="32"/>
                <w:szCs w:val="32"/>
                <w:lang w:val="en-US" w:eastAsia="zh-CN" w:bidi="ar-SA"/>
              </w:rPr>
              <w:t>朱子文化交流基地提升工程。</w:t>
            </w:r>
            <w:r>
              <w:rPr>
                <w:rFonts w:hint="eastAsia" w:ascii="仿宋_GB2312" w:hAnsi="仿宋_GB2312" w:eastAsia="仿宋_GB2312" w:cs="仿宋_GB2312"/>
                <w:kern w:val="2"/>
                <w:sz w:val="32"/>
                <w:szCs w:val="32"/>
                <w:lang w:val="en-US" w:eastAsia="zh-CN" w:bidi="ar-SA"/>
              </w:rPr>
              <w:t>持续举办“朱子礼乐·儒风雅韵”等品牌活动，建设国家级两岸文化交流示范区。开展海外研学、文化展演等国际交流活动，提升尤溪文化国际影响力</w:t>
            </w:r>
            <w:r>
              <w:rPr>
                <w:rFonts w:hint="eastAsia" w:ascii="方正仿宋_GB2312" w:hAnsi="方正仿宋_GB2312" w:eastAsia="方正仿宋_GB2312" w:cs="方正仿宋_GB2312"/>
                <w:snapToGrid w:val="0"/>
                <w:color w:val="auto"/>
                <w:kern w:val="2"/>
                <w:sz w:val="32"/>
                <w:szCs w:val="32"/>
                <w:highlight w:val="none"/>
                <w:lang w:val="en-US" w:eastAsia="zh-CN" w:bidi="ar-SA"/>
              </w:rPr>
              <w:t>。</w:t>
            </w:r>
          </w:p>
        </w:tc>
      </w:tr>
    </w:tbl>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color w:val="auto"/>
          <w:szCs w:val="32"/>
          <w:highlight w:val="none"/>
        </w:rPr>
      </w:pPr>
      <w:bookmarkStart w:id="169" w:name="_Toc16156"/>
      <w:r>
        <w:rPr>
          <w:rFonts w:hint="eastAsia" w:ascii="方正小标宋简体" w:hAnsi="方正小标宋简体" w:eastAsia="方正小标宋简体" w:cs="方正小标宋简体"/>
          <w:color w:val="auto"/>
          <w:szCs w:val="32"/>
          <w:highlight w:val="none"/>
        </w:rPr>
        <w:t>第九章 着力城市更新，建设宜居和美城乡</w:t>
      </w:r>
      <w:bookmarkEnd w:id="16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bookmarkStart w:id="170" w:name="_Toc24676"/>
      <w:r>
        <w:rPr>
          <w:rFonts w:hint="eastAsia" w:ascii="仿宋_GB2312" w:hAnsi="仿宋_GB2312" w:eastAsia="仿宋_GB2312" w:cs="仿宋_GB2312"/>
          <w:kern w:val="2"/>
          <w:sz w:val="32"/>
          <w:szCs w:val="32"/>
          <w:lang w:val="en-US" w:eastAsia="zh-CN" w:bidi="ar-SA"/>
        </w:rPr>
        <w:t>以城市更新为重要抓手，高质量推进以人为本的新型城镇化建设，大力推动城市结构优化、动能转换、品质提升、绿色转型、文脉赓续、治理增效，牢牢守住城市安全底线，形成“三城协同，多园集聚”的大城关格局，建设创新、宜居、美丽、韧性、文明、智慧的现代化人民城市。</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lang w:val="zh-TW" w:eastAsia="zh-TW"/>
        </w:rPr>
      </w:pPr>
      <w:bookmarkStart w:id="171" w:name="_Toc2037"/>
      <w:bookmarkStart w:id="172" w:name="_Toc17110"/>
      <w:bookmarkStart w:id="173" w:name="_Toc9928"/>
      <w:bookmarkStart w:id="174" w:name="_Toc10317"/>
      <w:bookmarkStart w:id="175" w:name="_Toc18459"/>
      <w:bookmarkStart w:id="176" w:name="_Toc20987"/>
      <w:bookmarkStart w:id="177" w:name="_Toc8862"/>
      <w:r>
        <w:rPr>
          <w:rFonts w:hint="default" w:ascii="黑体" w:hAnsi="黑体" w:eastAsia="黑体" w:cs="黑体"/>
          <w:b w:val="0"/>
          <w:bCs/>
          <w:snapToGrid w:val="0"/>
          <w:color w:val="auto"/>
          <w:szCs w:val="32"/>
          <w:highlight w:val="none"/>
        </w:rPr>
        <w:t>第一节 优化</w:t>
      </w:r>
      <w:r>
        <w:rPr>
          <w:rFonts w:hint="default" w:ascii="黑体" w:hAnsi="黑体" w:eastAsia="黑体" w:cs="黑体"/>
          <w:b w:val="0"/>
          <w:bCs/>
          <w:snapToGrid w:val="0"/>
          <w:color w:val="auto"/>
          <w:szCs w:val="32"/>
          <w:highlight w:val="none"/>
          <w:lang w:val="zh-TW" w:eastAsia="zh-TW"/>
        </w:rPr>
        <w:t>国土空间</w:t>
      </w:r>
      <w:bookmarkEnd w:id="171"/>
      <w:bookmarkEnd w:id="172"/>
      <w:bookmarkEnd w:id="173"/>
      <w:bookmarkEnd w:id="174"/>
      <w:r>
        <w:rPr>
          <w:rFonts w:hint="default" w:ascii="黑体" w:hAnsi="黑体" w:eastAsia="黑体" w:cs="黑体"/>
          <w:b w:val="0"/>
          <w:bCs/>
          <w:snapToGrid w:val="0"/>
          <w:color w:val="auto"/>
          <w:szCs w:val="32"/>
          <w:highlight w:val="none"/>
          <w:lang w:val="zh-TW" w:eastAsia="zh-TW"/>
        </w:rPr>
        <w:t>发展格局</w:t>
      </w:r>
      <w:bookmarkEnd w:id="175"/>
      <w:bookmarkEnd w:id="176"/>
      <w:bookmarkEnd w:id="177"/>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构建“双屏一脉十六片·两廊三区一中心”国土空间总格局，优化空间结构与功能布局，针对老城区、新城区、产业组团等不同定位的生活圈，实施分区分级空间布局管控，营造健康、舒适、便利人居环境。</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优化农业空间布局。</w:t>
      </w:r>
      <w:r>
        <w:rPr>
          <w:rFonts w:hint="default" w:ascii="仿宋_GB2312" w:hAnsi="仿宋_GB2312" w:eastAsia="仿宋_GB2312" w:cs="仿宋_GB2312"/>
          <w:kern w:val="2"/>
          <w:sz w:val="32"/>
          <w:szCs w:val="32"/>
          <w:lang w:val="en-US" w:eastAsia="zh-CN" w:bidi="ar-SA"/>
        </w:rPr>
        <w:t>以现代农业高质量发展为目标，引导产业空间向用地集约、布局合理、优质高效方向发展，将园地集中区、高标准农田建设区、耕地集中区、宜耕后备资源高潜力区等区域划定为农业集中区，建立省级食用菌产业园、蔬果产业园以及种子产业园等多个现代化农业区，推进蛋鸡、生猪、黑山羊、肉牛等育繁一体化产业园区建设，基本形成以市场为导向、农民为主体、企业带动、社会参与相结合的“一乡一品、一县一业”特色现代农业发展格局。全面提升耕地质量，通过统筹推进农用地整理、城乡建设低效用地再开发、城镇低效用地再开发、土地复垦及宜耕后备资源开发等各类整治活动，加大农业结构调整力度，确保耕地保有量得到落实。重点推进地势较为平坦的河谷盆地（西城镇、洋中镇、梅仙镇、西滨镇）、山地丘陵（坂面镇、台溪乡、溪尾乡、新阳镇、联合镇）高标准农田建设，提高耕地质量，稳步提高粮食综合生产能力。加快对尤溪县铅锌矿产较为集中的梅仙矿区、中仙龙门场—七官场矿区的综合整治，对已污染的土壤进行修复，逐步恢复耕地生态功能。</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优化生态空间布局。</w:t>
      </w:r>
      <w:r>
        <w:rPr>
          <w:rFonts w:hint="default" w:ascii="仿宋_GB2312" w:hAnsi="仿宋_GB2312" w:eastAsia="仿宋_GB2312" w:cs="仿宋_GB2312"/>
          <w:kern w:val="2"/>
          <w:sz w:val="32"/>
          <w:szCs w:val="32"/>
          <w:lang w:val="en-US" w:eastAsia="zh-CN" w:bidi="ar-SA"/>
        </w:rPr>
        <w:t>依托戴云山、玳瑁山生态屏障和两大屏障区丰富的生态资源，强化生态功能优势。加强生态屏障的林地保护，优化生态安全屏障体系，构建“双屏、一脉、两心、多廊、多点”生态安全格局。强化生态功能优势，推动坂面镇、中仙镇、西城镇、洋中镇、汤川乡等林地集中区域，打造生态核心保护区，加强对森林生态系统的保护与修复，提升森林质量，增强其碳汇能力和生物多样性维护功能。建设河岸水生态保护与修复工程及城市活水工程，改善水生态环境。探索湿地总量管控、生态补偿、分区管理制度，整合优化县域内分散分布的各类自然保护地、湿地以及生态公益林等，构成生态空间的重要节点，发挥独特的生态功能。保护开发重点矿区，积极推进肖坂金矿、后楼矿区稀土矿等矿产资源的勘查工作，着力推进尤溪县梅仙矿产循环片区、坂面—中仙矿产开采基地、梅仙—台溪白云岩和大理岩矿等非金属矿深加工片区及尤溪县中仙—坂面石灰岩矿绿色建材产业片区等重点矿产的开发和保护。</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方正仿宋_GB2312" w:hAnsi="方正仿宋_GB2312" w:eastAsia="方正仿宋_GB2312" w:cs="方正仿宋_GB2312"/>
          <w:snapToGrid w:val="0"/>
          <w:color w:val="auto"/>
          <w:szCs w:val="32"/>
          <w:highlight w:val="none"/>
          <w:lang w:val="en-US" w:eastAsia="zh-CN"/>
        </w:rPr>
      </w:pPr>
      <w:r>
        <w:rPr>
          <w:rFonts w:hint="default" w:ascii="Times New Roman" w:hAnsi="Times New Roman" w:eastAsia="方正仿宋_GB2312" w:cs="Times New Roman"/>
          <w:b/>
          <w:snapToGrid w:val="0"/>
          <w:color w:val="auto"/>
          <w:szCs w:val="32"/>
          <w:highlight w:val="none"/>
        </w:rPr>
        <w:t xml:space="preserve">    优化城镇空间布局。</w:t>
      </w:r>
      <w:r>
        <w:rPr>
          <w:rFonts w:hint="default" w:ascii="仿宋_GB2312" w:hAnsi="仿宋_GB2312" w:eastAsia="仿宋_GB2312" w:cs="仿宋_GB2312"/>
          <w:kern w:val="2"/>
          <w:sz w:val="32"/>
          <w:szCs w:val="32"/>
          <w:lang w:val="en-US" w:eastAsia="zh-CN" w:bidi="ar-SA"/>
        </w:rPr>
        <w:t>在城镇空间布局上，构建“两廊一带·一心三片”城镇空间格局。依托福银高速、沙厦高速，形成尤溪—福州，尤溪—厦漳泉两条联动发展走廊；依托尤溪、福银通道尤溪支线为纽带，构建新阳—中心城区—洋中的县域联动发展带。把中心城区建设为县域政治、经济、文化、公共服务中心，建设三大组团片区。中心城区遵循“中心修古城、两头建新城”的城市建设思路，强化城关镇的核心引领作用，推进城区南部拓展，以紫阳湖周边综合开发为核心，融合文化、旅游、体育元素，打造集休闲康养、体育为一体的城市新功能区。发挥中心城区对县域经济社会发展的辐射带动作用。重点镇加强基础设施建设和公共服务供给，提升城镇综合服务能力，成为连接中心城区与乡村地区的重要节点，促进城乡要素流动和资源共享。乡村地区通过实施乡村振兴战略，建设美丽乡村，促进城乡融合发展。</w:t>
      </w:r>
      <w:bookmarkStart w:id="178" w:name="_Toc11721"/>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lang w:val="zh-TW" w:eastAsia="zh-TW"/>
        </w:rPr>
      </w:pPr>
      <w:bookmarkStart w:id="179" w:name="_Toc10962"/>
      <w:r>
        <w:rPr>
          <w:rFonts w:hint="default" w:ascii="黑体" w:hAnsi="黑体" w:eastAsia="黑体" w:cs="黑体"/>
          <w:b w:val="0"/>
          <w:bCs/>
          <w:snapToGrid w:val="0"/>
          <w:color w:val="auto"/>
          <w:szCs w:val="32"/>
          <w:highlight w:val="none"/>
        </w:rPr>
        <w:t xml:space="preserve">第二节 </w:t>
      </w:r>
      <w:bookmarkEnd w:id="178"/>
      <w:r>
        <w:rPr>
          <w:rFonts w:hint="default" w:ascii="黑体" w:hAnsi="黑体" w:eastAsia="黑体" w:cs="黑体"/>
          <w:b w:val="0"/>
          <w:bCs/>
          <w:snapToGrid w:val="0"/>
          <w:color w:val="auto"/>
          <w:szCs w:val="32"/>
          <w:highlight w:val="none"/>
        </w:rPr>
        <w:t>推动城市高质量发展</w:t>
      </w:r>
      <w:bookmarkEnd w:id="17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聚焦城市建设中的突出问题和短板，实施城市更新行动，着力提升居住质量，改善居民的生活品质，打造“四季有景”景观风貌，做优中心城环境，着力构建闽中地区具有强大吸引力和承载力的宜居韧性智慧文明城市。</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持续推动老旧小区改造。</w:t>
      </w:r>
      <w:r>
        <w:rPr>
          <w:rFonts w:hint="default" w:ascii="仿宋_GB2312" w:hAnsi="仿宋_GB2312" w:eastAsia="仿宋_GB2312" w:cs="仿宋_GB2312"/>
          <w:kern w:val="2"/>
          <w:sz w:val="32"/>
          <w:szCs w:val="32"/>
          <w:lang w:val="en-US" w:eastAsia="zh-CN" w:bidi="ar-SA"/>
        </w:rPr>
        <w:t>探索建立“大片区统筹、区域性更新”机制，加大老旧小区、老旧街区、城中村更新改造力度，因地制宜激活城市空间新活力。聚焦基本民生、安全底线、环境设施和公共服务四大提升领域，扎实推进老旧小区改造。适时启动老旧小区燃气等老化管线管道更新改造，整治楼栋内人行走道、排风烟道、通风井道等，着力消除安全隐患。支持有条件的楼栋加装电梯，探索“居民自筹、市场参与、政府支持”商品房小区更新投入机制，推广“保险+服务”房屋安全风险排查整治，稳步提升业委会、物管会履职能力，持续提高市民物业服务满意度。完善小区停车、充电、消防、通信等配套基础设施，增设助餐、家政、养老、托育等普惠性公共服务设施，补齐老旧小区设施短板，增设文化展示角、邻里交流空间，营造文明和谐的社区氛围，夯实宜居文明基础。</w:t>
      </w:r>
      <w:bookmarkStart w:id="180" w:name="_Toc25422"/>
      <w:bookmarkStart w:id="181" w:name="_Toc17710"/>
      <w:bookmarkStart w:id="182" w:name="_Toc17914"/>
      <w:bookmarkStart w:id="183" w:name="_Toc12958"/>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加强城市精细化治理。</w:t>
      </w:r>
      <w:r>
        <w:rPr>
          <w:rFonts w:hint="default" w:ascii="仿宋_GB2312" w:hAnsi="仿宋_GB2312" w:eastAsia="仿宋_GB2312" w:cs="仿宋_GB2312"/>
          <w:kern w:val="2"/>
          <w:sz w:val="32"/>
          <w:szCs w:val="32"/>
          <w:lang w:val="en-US" w:eastAsia="zh-CN" w:bidi="ar-SA"/>
        </w:rPr>
        <w:t>实施朱子文化园及重点景区、商圈周边区域整治提升和交通秩序优化，统筹做好背街小巷提升、楼宇清洗、城市亮化绿化美化等工作。加强历史建筑、传统街巷等遗存的保护修缮，建设文化主题游园、非遗工坊，让城市历史记忆可感可触。推进垃圾分类收运体系与再生资源回收体系“两网融合”，建筑垃圾资源化利用率不低于85%。加快电动汽车、电动自行车充换电设施建设。在县城新建智慧立体停车场，建设数字化停车系统设施、加油站、充电桩等及其配套工程。持续完善基础设施网络，抓好美丽街区建设，实施公共空间微改造，优化公厕管理模式。打造一批城市绿地、郊野公园，推动朱子文化与绿地景观深度融合，更好满足市民户外休闲游憩需求。深入推进文明城市创建，让文明成为城市鲜明底色。</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推进韧性城市建设。</w:t>
      </w:r>
      <w:r>
        <w:rPr>
          <w:rFonts w:hint="default" w:ascii="仿宋_GB2312" w:hAnsi="仿宋_GB2312" w:eastAsia="仿宋_GB2312" w:cs="仿宋_GB2312"/>
          <w:kern w:val="2"/>
          <w:sz w:val="32"/>
          <w:szCs w:val="32"/>
          <w:lang w:val="en-US" w:eastAsia="zh-CN" w:bidi="ar-SA"/>
        </w:rPr>
        <w:t>系统推进城市生命线安全工程，加快地下综合管廊及地上配套市政设施建设改造，非居民用气场所瓶改管、气改电实现应改尽改。积极实施堤防加固、滑坡治理等自然灾害防治重点工程，全面提升城市防洪排涝能力。推进智慧交通监测预警系统建设，实现对重点路段、关键节点的实时监控与风险预判，强化多部门交通应急联动调度；整合城市道路、智慧停车场等资源，提升平急转换能力，保障应急运输与城市通勤高效衔接。推进智慧消防安全体系建设，建强关键应急救援力量。持续推进“平急两用”公共基础设施建设，加强园林绿化工程质量监督，交通事故多发路段、行道树问题突出路段保持动态清零，有效增强自然灾害应对能力。完善推动县域经济高质量发展政策措施，提升县城人口集聚和综合功能。</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推进智慧城市建设。</w:t>
      </w:r>
      <w:r>
        <w:rPr>
          <w:rFonts w:hint="default" w:ascii="仿宋_GB2312" w:hAnsi="仿宋_GB2312" w:eastAsia="仿宋_GB2312" w:cs="仿宋_GB2312"/>
          <w:kern w:val="2"/>
          <w:sz w:val="32"/>
          <w:szCs w:val="32"/>
          <w:lang w:val="en-US" w:eastAsia="zh-CN" w:bidi="ar-SA"/>
        </w:rPr>
        <w:t>以数据赋能为驱动，聚焦城市治理难点和民生服务需求，务实推进尤溪特色智慧场景建设。整合城管、应急、交通、环保等跨部门业务系统和数据资源，构建城市运行“一张图”管理平台，打造包含一网统管系统、智慧交通、智慧社区、智慧应急在内的全套数智化城市场景应用系统。依托前沿数字经济现代技术，全面实施A级旅游景区一站式智慧旅游建设，打造多种数字化设施，利用裸眼3D等数字技术赋能朱子文化智慧体验平台建设，深入挖掘朱子文化数据价值。</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zh-CN" w:eastAsia="zh-CN" w:bidi="ar-SA"/>
        </w:rPr>
        <w:t>提升城市功能品质。</w:t>
      </w:r>
      <w:r>
        <w:rPr>
          <w:rFonts w:hint="default" w:ascii="仿宋_GB2312" w:hAnsi="仿宋_GB2312" w:eastAsia="仿宋_GB2312" w:cs="仿宋_GB2312"/>
          <w:kern w:val="2"/>
          <w:sz w:val="32"/>
          <w:szCs w:val="32"/>
          <w:lang w:val="zh-CN" w:eastAsia="zh-TW" w:bidi="ar-SA"/>
        </w:rPr>
        <w:t>以打造创业创新之城为目标，完善水东新城、三奎新城配套</w:t>
      </w:r>
      <w:r>
        <w:rPr>
          <w:rFonts w:hint="default" w:ascii="仿宋_GB2312" w:hAnsi="仿宋_GB2312" w:eastAsia="仿宋_GB2312" w:cs="仿宋_GB2312"/>
          <w:kern w:val="2"/>
          <w:sz w:val="32"/>
          <w:szCs w:val="32"/>
          <w:lang w:val="en-US" w:eastAsia="zh-CN" w:bidi="ar-SA"/>
        </w:rPr>
        <w:t>设施</w:t>
      </w:r>
      <w:r>
        <w:rPr>
          <w:rFonts w:hint="default" w:ascii="仿宋_GB2312" w:hAnsi="仿宋_GB2312" w:eastAsia="仿宋_GB2312" w:cs="仿宋_GB2312"/>
          <w:kern w:val="2"/>
          <w:sz w:val="32"/>
          <w:szCs w:val="32"/>
          <w:lang w:val="zh-CN" w:eastAsia="zh-TW" w:bidi="ar-SA"/>
        </w:rPr>
        <w:t>，以打造未来产业之城为目标，加快西城</w:t>
      </w:r>
      <w:r>
        <w:rPr>
          <w:rFonts w:hint="default" w:ascii="仿宋_GB2312" w:hAnsi="仿宋_GB2312" w:eastAsia="仿宋_GB2312" w:cs="仿宋_GB2312"/>
          <w:kern w:val="2"/>
          <w:sz w:val="32"/>
          <w:szCs w:val="32"/>
          <w:lang w:val="en-US" w:eastAsia="zh-CN" w:bidi="ar-SA"/>
        </w:rPr>
        <w:t>片区</w:t>
      </w:r>
      <w:r>
        <w:rPr>
          <w:rFonts w:hint="default" w:ascii="仿宋_GB2312" w:hAnsi="仿宋_GB2312" w:eastAsia="仿宋_GB2312" w:cs="仿宋_GB2312"/>
          <w:kern w:val="2"/>
          <w:sz w:val="32"/>
          <w:szCs w:val="32"/>
          <w:lang w:val="zh-CN" w:eastAsia="zh-TW" w:bidi="ar-SA"/>
        </w:rPr>
        <w:t>建设步伐。</w:t>
      </w:r>
      <w:r>
        <w:rPr>
          <w:rFonts w:hint="default" w:ascii="仿宋_GB2312" w:hAnsi="仿宋_GB2312" w:eastAsia="仿宋_GB2312" w:cs="仿宋_GB2312"/>
          <w:kern w:val="2"/>
          <w:sz w:val="32"/>
          <w:szCs w:val="32"/>
          <w:lang w:val="zh-TW" w:eastAsia="zh-TW" w:bidi="ar-SA"/>
        </w:rPr>
        <w:t>加大力度建设</w:t>
      </w:r>
      <w:r>
        <w:rPr>
          <w:rFonts w:hint="default" w:ascii="仿宋_GB2312" w:hAnsi="仿宋_GB2312" w:eastAsia="仿宋_GB2312" w:cs="仿宋_GB2312"/>
          <w:kern w:val="2"/>
          <w:sz w:val="32"/>
          <w:szCs w:val="32"/>
          <w:lang w:val="en-US" w:eastAsia="zh-CN" w:bidi="ar-SA"/>
        </w:rPr>
        <w:t>四好房子</w:t>
      </w:r>
      <w:r>
        <w:rPr>
          <w:rFonts w:hint="default" w:ascii="仿宋_GB2312" w:hAnsi="仿宋_GB2312" w:eastAsia="仿宋_GB2312" w:cs="仿宋_GB2312"/>
          <w:kern w:val="2"/>
          <w:sz w:val="32"/>
          <w:szCs w:val="32"/>
          <w:lang w:val="zh-TW" w:eastAsia="zh-TW" w:bidi="ar-SA"/>
        </w:rPr>
        <w:t>，深入推进住宅工程品质提升，建设人民满意的</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好房子</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。完善社区服务设施建设，打造一刻钟便民生活圈，营造全龄友好的生活环境。秉承</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城市景区化</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理念，完善城市高品质绿色空间体系，突出亲水、生态与朱子文化主题，构建串联生态与人文的绿道网络，形成</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山、水、人、文共融韵城</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的复合空间，将朱子文化、传统农耕文化融入城市公园、公共场馆建设，实现</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城景相融、文城共生</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zh-CN" w:eastAsia="zh-CN" w:bidi="ar-SA"/>
        </w:rPr>
      </w:pPr>
      <w:r>
        <w:rPr>
          <w:rFonts w:hint="default" w:ascii="楷体_GB2312" w:hAnsi="楷体_GB2312" w:eastAsia="楷体_GB2312" w:cs="楷体_GB2312"/>
          <w:b/>
          <w:bCs/>
          <w:kern w:val="2"/>
          <w:sz w:val="32"/>
          <w:szCs w:val="32"/>
          <w:lang w:val="zh-CN" w:eastAsia="zh-CN" w:bidi="ar-SA"/>
        </w:rPr>
        <w:t>专栏</w:t>
      </w:r>
      <w:r>
        <w:rPr>
          <w:rFonts w:hint="default" w:ascii="楷体_GB2312" w:hAnsi="楷体_GB2312" w:eastAsia="楷体_GB2312" w:cs="楷体_GB2312"/>
          <w:b/>
          <w:bCs/>
          <w:kern w:val="2"/>
          <w:sz w:val="32"/>
          <w:szCs w:val="32"/>
          <w:lang w:val="en-US" w:eastAsia="zh-CN" w:bidi="ar-SA"/>
        </w:rPr>
        <w:t>22：</w:t>
      </w:r>
      <w:r>
        <w:rPr>
          <w:rFonts w:hint="default" w:ascii="楷体_GB2312" w:hAnsi="楷体_GB2312" w:eastAsia="楷体_GB2312" w:cs="楷体_GB2312"/>
          <w:b/>
          <w:bCs/>
          <w:kern w:val="2"/>
          <w:sz w:val="32"/>
          <w:szCs w:val="32"/>
          <w:lang w:val="zh-CN" w:eastAsia="zh-CN" w:bidi="ar-SA"/>
        </w:rPr>
        <w:t>城市更新行动工程项目</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b/>
                <w:bCs/>
                <w:kern w:val="2"/>
                <w:sz w:val="32"/>
                <w:szCs w:val="32"/>
                <w:lang w:val="zh-CN" w:eastAsia="zh-CN" w:bidi="ar-SA"/>
              </w:rPr>
              <w:t>尤溪县城区排水防涝系统工程项目。</w:t>
            </w:r>
            <w:r>
              <w:rPr>
                <w:rFonts w:hint="eastAsia" w:ascii="仿宋_GB2312" w:hAnsi="仿宋_GB2312" w:eastAsia="仿宋_GB2312" w:cs="仿宋_GB2312"/>
                <w:kern w:val="2"/>
                <w:sz w:val="32"/>
                <w:szCs w:val="32"/>
                <w:lang w:val="zh-CN" w:eastAsia="zh-CN" w:bidi="ar-SA"/>
              </w:rPr>
              <w:t>瑞云园、翠云园、城西工业园、宝云园、竹木园等区域排水防涝工程及局部雨污混接改造。城关片区排水组团、县城南片区排水防涝管网提升改造，片区管网排查清淤检测修复，并配套建设双拥桥污水泵站、竹木园泵站等设施。</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zh-CN" w:eastAsia="zh-CN" w:bidi="ar-SA"/>
              </w:rPr>
            </w:pPr>
            <w:r>
              <w:rPr>
                <w:rFonts w:hint="eastAsia" w:ascii="仿宋_GB2312" w:hAnsi="仿宋_GB2312" w:eastAsia="仿宋_GB2312" w:cs="仿宋_GB2312"/>
                <w:b/>
                <w:bCs/>
                <w:kern w:val="2"/>
                <w:sz w:val="32"/>
                <w:szCs w:val="32"/>
                <w:lang w:val="zh-CN" w:eastAsia="zh-CN" w:bidi="ar-SA"/>
              </w:rPr>
              <w:t>尤溪县三奎新城康泰路延伸线、边竹路延伸线、闽中大道延伸线等建设项目。</w:t>
            </w:r>
            <w:r>
              <w:rPr>
                <w:rFonts w:hint="eastAsia" w:ascii="仿宋_GB2312" w:hAnsi="仿宋_GB2312" w:eastAsia="仿宋_GB2312" w:cs="仿宋_GB2312"/>
                <w:kern w:val="2"/>
                <w:sz w:val="32"/>
                <w:szCs w:val="32"/>
                <w:lang w:val="zh-CN" w:eastAsia="zh-CN" w:bidi="ar-SA"/>
              </w:rPr>
              <w:t>对尤溪县三奎新城进行地下管网建设，新建雨水工程、污水工程。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b/>
                <w:bCs/>
                <w:kern w:val="2"/>
                <w:sz w:val="32"/>
                <w:szCs w:val="32"/>
                <w:lang w:val="zh-CN" w:eastAsia="zh-CN" w:bidi="ar-SA"/>
              </w:rPr>
              <w:t>尤溪县福建闽中兄弟现代物流城公路港路网工程。</w:t>
            </w:r>
            <w:r>
              <w:rPr>
                <w:rFonts w:hint="eastAsia" w:ascii="仿宋_GB2312" w:hAnsi="仿宋_GB2312" w:eastAsia="仿宋_GB2312" w:cs="仿宋_GB2312"/>
                <w:kern w:val="2"/>
                <w:sz w:val="32"/>
                <w:szCs w:val="32"/>
                <w:lang w:val="zh-CN" w:eastAsia="zh-CN" w:bidi="ar-SA"/>
              </w:rPr>
              <w:t>新建DN300—1200雨水管网、DN300—600污水管网、DN150—200给水管网、道路工程、交通工程、电力工程、通信工程、路灯工程、建设公路港实体平台综合楼改造及智能物流信息一体化工程等配套基础设施建设工程。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尤溪城市微循环路网优化工程。</w:t>
            </w:r>
            <w:r>
              <w:rPr>
                <w:rFonts w:hint="eastAsia" w:ascii="仿宋_GB2312" w:hAnsi="仿宋_GB2312" w:eastAsia="仿宋_GB2312" w:cs="仿宋_GB2312"/>
                <w:kern w:val="2"/>
                <w:sz w:val="32"/>
                <w:szCs w:val="32"/>
                <w:lang w:val="en-US" w:eastAsia="zh-CN" w:bidi="ar-SA"/>
              </w:rPr>
              <w:t>系统推进城区老旧街区与城中村道路的综合改造提升，完善城市市政路网结构；重点推进尤溪东迎宾大道建设工程。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尤溪县西城新区潘山安置房建设项目。</w:t>
            </w:r>
            <w:r>
              <w:rPr>
                <w:rFonts w:hint="eastAsia" w:ascii="仿宋_GB2312" w:hAnsi="仿宋_GB2312" w:eastAsia="仿宋_GB2312" w:cs="仿宋_GB2312"/>
                <w:kern w:val="2"/>
                <w:sz w:val="32"/>
                <w:szCs w:val="32"/>
                <w:lang w:val="en-US" w:eastAsia="zh-CN" w:bidi="ar-SA"/>
              </w:rPr>
              <w:t>主要建设内容包括：安置房房屋工程、公共管理配套用房工程、配电设备用房工程、道路工程、给排水管网工程、燃气管网工程、电力管网工程、通信管网工程、停车场、充电桩等配套基础设施建设工程。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尤溪西城安置房建设项目。</w:t>
            </w:r>
            <w:r>
              <w:rPr>
                <w:rFonts w:hint="eastAsia" w:ascii="仿宋_GB2312" w:hAnsi="仿宋_GB2312" w:eastAsia="仿宋_GB2312" w:cs="仿宋_GB2312"/>
                <w:kern w:val="2"/>
                <w:sz w:val="32"/>
                <w:szCs w:val="32"/>
                <w:lang w:val="en-US" w:eastAsia="zh-CN" w:bidi="ar-SA"/>
              </w:rPr>
              <w:t>尤溪县玉池安置房、尤溪县解建安置房。包含场地平整工程、道路工程、给排水管网工程、电力设施及其管网工程、通信设施及其管网工程、边坡防护工程、河道整治等基础设施工程，以及停车场、充电桩等其他配套设施。</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尤溪县旧造纸厂安置区改造项目。</w:t>
            </w:r>
            <w:r>
              <w:rPr>
                <w:rFonts w:hint="eastAsia" w:ascii="仿宋_GB2312" w:hAnsi="仿宋_GB2312" w:eastAsia="仿宋_GB2312" w:cs="仿宋_GB2312"/>
                <w:kern w:val="2"/>
                <w:sz w:val="32"/>
                <w:szCs w:val="32"/>
                <w:lang w:val="en-US" w:eastAsia="zh-CN" w:bidi="ar-SA"/>
              </w:rPr>
              <w:t>主要对原造纸厂安置区进行改造，包括配套建设给排水管网、燃气管网、电力管网、通信管网、护坡挡墙以及停车设施等。</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b/>
                <w:bCs/>
                <w:kern w:val="2"/>
                <w:sz w:val="32"/>
                <w:szCs w:val="32"/>
                <w:lang w:val="zh-CN" w:eastAsia="zh-CN" w:bidi="ar-SA"/>
              </w:rPr>
              <w:t>尤溪县体育中心建设项目。</w:t>
            </w:r>
            <w:r>
              <w:rPr>
                <w:rFonts w:hint="eastAsia" w:ascii="仿宋_GB2312" w:hAnsi="仿宋_GB2312" w:eastAsia="仿宋_GB2312" w:cs="仿宋_GB2312"/>
                <w:kern w:val="2"/>
                <w:sz w:val="32"/>
                <w:szCs w:val="32"/>
                <w:lang w:val="zh-CN" w:eastAsia="zh-CN" w:bidi="ar-SA"/>
              </w:rPr>
              <w:t>包括一个标准体育场、体育馆主馆、全民健身馆、室外健身休闲区等。</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b/>
                <w:bCs/>
                <w:kern w:val="2"/>
                <w:sz w:val="32"/>
                <w:szCs w:val="32"/>
                <w:lang w:val="zh-CN" w:eastAsia="zh-CN" w:bidi="ar-SA"/>
              </w:rPr>
              <w:t>尤溪县老旧居住区宜居改造工程。</w:t>
            </w:r>
            <w:r>
              <w:rPr>
                <w:rFonts w:hint="eastAsia" w:ascii="仿宋_GB2312" w:hAnsi="仿宋_GB2312" w:eastAsia="仿宋_GB2312" w:cs="仿宋_GB2312"/>
                <w:kern w:val="2"/>
                <w:sz w:val="32"/>
                <w:szCs w:val="32"/>
                <w:lang w:val="zh-CN" w:eastAsia="zh-CN" w:bidi="ar-SA"/>
              </w:rPr>
              <w:t>计划2026年改造老旧小区15个，城市危旧房3栋，2027年改造老旧小区7个。</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b/>
                <w:bCs/>
                <w:kern w:val="2"/>
                <w:sz w:val="32"/>
                <w:szCs w:val="32"/>
                <w:lang w:val="zh-CN" w:eastAsia="zh-CN" w:bidi="ar-SA"/>
              </w:rPr>
              <w:t>尤溪县城中村综合改造工程。</w:t>
            </w:r>
            <w:r>
              <w:rPr>
                <w:rFonts w:hint="eastAsia" w:ascii="仿宋_GB2312" w:hAnsi="仿宋_GB2312" w:eastAsia="仿宋_GB2312" w:cs="仿宋_GB2312"/>
                <w:kern w:val="2"/>
                <w:sz w:val="32"/>
                <w:szCs w:val="32"/>
                <w:lang w:val="zh-CN" w:eastAsia="zh-CN" w:bidi="ar-SA"/>
              </w:rPr>
              <w:t>新建公交停靠点，道路拓宽白改黑，公园河道整治等。</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尤溪县第八期老旧小区改造配套基础设施建设项目。</w:t>
            </w:r>
            <w:r>
              <w:rPr>
                <w:rFonts w:hint="eastAsia" w:ascii="仿宋_GB2312" w:hAnsi="仿宋_GB2312" w:eastAsia="仿宋_GB2312" w:cs="仿宋_GB2312"/>
                <w:kern w:val="2"/>
                <w:sz w:val="32"/>
                <w:szCs w:val="32"/>
                <w:lang w:val="en-US" w:eastAsia="zh-CN" w:bidi="ar-SA"/>
              </w:rPr>
              <w:t>改造人行路面、沥青路面、水泥路面；新建机动车和非机动车停车棚；改造雨水管网、污水管网、电力管网、通讯管网及其他附属设施工程。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b/>
                <w:bCs/>
                <w:kern w:val="2"/>
                <w:sz w:val="32"/>
                <w:szCs w:val="32"/>
                <w:lang w:val="zh-CN" w:eastAsia="zh-CN" w:bidi="ar-SA"/>
              </w:rPr>
              <w:t>尤溪县城市公共空间功能提升工程。</w:t>
            </w:r>
            <w:r>
              <w:rPr>
                <w:rFonts w:hint="eastAsia" w:ascii="仿宋_GB2312" w:hAnsi="仿宋_GB2312" w:eastAsia="仿宋_GB2312" w:cs="仿宋_GB2312"/>
                <w:kern w:val="2"/>
                <w:sz w:val="32"/>
                <w:szCs w:val="32"/>
                <w:lang w:val="zh-CN" w:eastAsia="zh-CN" w:bidi="ar-SA"/>
              </w:rPr>
              <w:t>老汽车站交通枢纽提升改造，新增消防设施，全县公共设施数字化低碳化。</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kern w:val="0"/>
                <w:sz w:val="28"/>
                <w:szCs w:val="28"/>
                <w:highlight w:val="none"/>
                <w:lang w:val="zh-CN"/>
              </w:rPr>
            </w:pPr>
            <w:r>
              <w:rPr>
                <w:rFonts w:hint="eastAsia" w:ascii="仿宋_GB2312" w:hAnsi="仿宋_GB2312" w:eastAsia="仿宋_GB2312" w:cs="仿宋_GB2312"/>
                <w:b/>
                <w:bCs/>
                <w:kern w:val="2"/>
                <w:sz w:val="32"/>
                <w:szCs w:val="32"/>
                <w:lang w:val="zh-CN" w:eastAsia="zh-CN" w:bidi="ar-SA"/>
              </w:rPr>
              <w:t>尤溪县老旧街区（厂区）转型提质工程。</w:t>
            </w:r>
            <w:r>
              <w:rPr>
                <w:rFonts w:hint="eastAsia" w:ascii="仿宋_GB2312" w:hAnsi="仿宋_GB2312" w:eastAsia="仿宋_GB2312" w:cs="仿宋_GB2312"/>
                <w:kern w:val="2"/>
                <w:sz w:val="32"/>
                <w:szCs w:val="32"/>
                <w:lang w:val="zh-CN" w:eastAsia="zh-CN" w:bidi="ar-SA"/>
              </w:rPr>
              <w:t>老旧街区内道路提升改造，消防设施建设，社区综合服务等。</w:t>
            </w:r>
          </w:p>
        </w:tc>
      </w:tr>
      <w:bookmarkEnd w:id="180"/>
      <w:bookmarkEnd w:id="181"/>
      <w:bookmarkEnd w:id="182"/>
      <w:bookmarkEnd w:id="183"/>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snapToGrid w:val="0"/>
          <w:color w:val="auto"/>
          <w:szCs w:val="32"/>
          <w:highlight w:val="none"/>
        </w:rPr>
      </w:pPr>
      <w:bookmarkStart w:id="184" w:name="_Toc5691"/>
      <w:r>
        <w:rPr>
          <w:rFonts w:hint="default" w:ascii="黑体" w:hAnsi="黑体" w:eastAsia="黑体" w:cs="黑体"/>
          <w:b w:val="0"/>
          <w:bCs/>
          <w:snapToGrid w:val="0"/>
          <w:color w:val="auto"/>
          <w:szCs w:val="32"/>
          <w:highlight w:val="none"/>
        </w:rPr>
        <w:t>第三节 促进乡村全面振兴</w:t>
      </w:r>
      <w:bookmarkEnd w:id="170"/>
      <w:bookmarkEnd w:id="184"/>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zh-CN" w:eastAsia="zh-TW" w:bidi="ar-SA"/>
        </w:rPr>
      </w:pPr>
      <w:r>
        <w:rPr>
          <w:rFonts w:hint="default" w:ascii="仿宋_GB2312" w:hAnsi="仿宋_GB2312" w:eastAsia="仿宋_GB2312" w:cs="仿宋_GB2312"/>
          <w:kern w:val="2"/>
          <w:sz w:val="32"/>
          <w:szCs w:val="32"/>
          <w:lang w:val="zh-CN" w:eastAsia="zh-TW" w:bidi="ar-SA"/>
        </w:rPr>
        <w:t>树牢大农业观、大食物观，构建多元化食物供给体系，保障粮食安全。持续围绕强化产业融合发展、深化和美乡村建设、培育乡村“新”农人、深挖乡村农耕文化，推进乡村全面振兴，走出一条具有尤溪特色的农业农村现代化道路。</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CN" w:eastAsia="zh-CN" w:bidi="ar-SA"/>
        </w:rPr>
      </w:pPr>
      <w:r>
        <w:rPr>
          <w:rFonts w:hint="default" w:ascii="楷体_GB2312" w:hAnsi="楷体_GB2312" w:eastAsia="楷体_GB2312" w:cs="楷体_GB2312"/>
          <w:b/>
          <w:bCs/>
          <w:kern w:val="2"/>
          <w:sz w:val="32"/>
          <w:szCs w:val="32"/>
          <w:lang w:val="en-US" w:eastAsia="zh-CN" w:bidi="ar-SA"/>
        </w:rPr>
        <w:t>筑牢粮食安全根基。</w:t>
      </w:r>
      <w:r>
        <w:rPr>
          <w:rFonts w:hint="default" w:ascii="仿宋_GB2312" w:hAnsi="仿宋_GB2312" w:eastAsia="仿宋_GB2312" w:cs="仿宋_GB2312"/>
          <w:kern w:val="2"/>
          <w:sz w:val="32"/>
          <w:szCs w:val="32"/>
          <w:lang w:val="zh-CN" w:eastAsia="zh-TW" w:bidi="ar-SA"/>
        </w:rPr>
        <w:t>深入实施种业振兴行动，加强农业种子资源保护与高效利用，深化“村企协作”与“科企协作”，集中力量选育推广一批高产稳产、优质专用、抗逆性强、适应性广的突破性新品种，力争在每个乡镇布局种子区域服务站，解决收购、临时仓储与物资供应问题。坚持最严格的耕地保护制度，采取“长牙齿”的硬措施保护耕地。集中力量建设集中连片、旱涝保收、节水高效、稳产高产、生态友好的高标准农田，形成一批“一季千斤、两季吨粮”的口粮田，筑牢保障粮食安全基础，进一步提高我县高标准农田保有量和质量。主要建设内容为灌溉和排水工程、田间道路工程、农田防护与生态环境保持工程、田块整治工程及土壤改良工程等。“十五五”期间每年建设高标准农田面积</w:t>
      </w:r>
      <w:r>
        <w:rPr>
          <w:rFonts w:hint="default" w:ascii="仿宋_GB2312" w:hAnsi="仿宋_GB2312" w:eastAsia="仿宋_GB2312" w:cs="仿宋_GB2312"/>
          <w:kern w:val="2"/>
          <w:sz w:val="32"/>
          <w:szCs w:val="32"/>
          <w:lang w:val="zh-CN" w:eastAsia="zh-CN" w:bidi="ar-SA"/>
        </w:rPr>
        <w:t>0.8万亩，力争到2030年全县再新增高标准农田建设面积4万亩。</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发展农业特色产业。</w:t>
      </w:r>
      <w:r>
        <w:rPr>
          <w:rFonts w:hint="default" w:ascii="仿宋_GB2312" w:hAnsi="仿宋_GB2312" w:eastAsia="仿宋_GB2312" w:cs="仿宋_GB2312"/>
          <w:kern w:val="2"/>
          <w:sz w:val="32"/>
          <w:szCs w:val="32"/>
          <w:lang w:val="zh-TW" w:eastAsia="zh-TW" w:bidi="ar-SA"/>
        </w:rPr>
        <w:t>持续深化“1366”特色现代农业提升工程，着力打造茶叶、食用菌、果蔬、油茶、笋竹、畜禽水产等六大优势产业集群。以联合、管前、八字桥为核心，依托久泰公司打造柑橘类采摘旅游综合体，创建“中国金柑之乡”。以台溪、坂面为核心，整合云富、碧叶馨、光兴等龙头企业资源，建成茶叶一二三产融合示范区，探索“茶园观光+体验”模式，打响</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尤溪红</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尤溪绿茶等区域公共品牌，发展茶产业。以洋中、西滨为核心，重点推广“一黑一白”栽培模式，依托洋中国家食用菌品种改良中心，打造菌种研发繁育中心，开发菌菇脆片、多糖提取物等产品，发展食用菌产业。以汤川、中仙、洋中高山片区为核心，瞄准高端市场，建设高山冷凉蔬菜基地，发展蔬菜产业。以西滨、洋中、联合为核心，提升粪污处理与循环利用能力，发展生猪全产业链。以中仙、西城、管前、西滨为核心，开展蛋鸡、优质山地鸡养殖。</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持续拓宽农民增收渠道。</w:t>
      </w:r>
      <w:r>
        <w:rPr>
          <w:rFonts w:hint="default" w:ascii="仿宋_GB2312" w:hAnsi="仿宋_GB2312" w:eastAsia="仿宋_GB2312" w:cs="仿宋_GB2312"/>
          <w:kern w:val="2"/>
          <w:sz w:val="32"/>
          <w:szCs w:val="32"/>
          <w:lang w:val="zh-TW" w:eastAsia="zh-TW" w:bidi="ar-SA"/>
        </w:rPr>
        <w:t>积极推进“菌稻轮作”“烟稻轮作”等，兼顾粮食稳定与农户增收，提升土地等资源利用效益。搭建用工对接平台，促进工资性收入增长。大力发展农文旅融合，争取中央彩票公益金政策，进一步开发保护联合梯田，串联联合梯田—桂峰古村—汤川旅游区等核心景区，打造集美食品鉴、农创文旅、亲子研学、产业孵化等多种功能于一体农文旅融合样板区，完善联农带农机制，提升农民经营性收入。保障财产性收入权益，激活农民土地、房屋等财产权益，拓展财产性收入来源。持续拓宽农产品销路，大力发展电商直播带货，深化“客货邮”融合，让农村的“土特产”变成“抢手货”。</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CN" w:eastAsia="zh-TW" w:bidi="ar-SA"/>
        </w:rPr>
      </w:pPr>
      <w:r>
        <w:rPr>
          <w:rFonts w:hint="default" w:ascii="楷体_GB2312" w:hAnsi="楷体_GB2312" w:eastAsia="楷体_GB2312" w:cs="楷体_GB2312"/>
          <w:b/>
          <w:bCs/>
          <w:kern w:val="2"/>
          <w:sz w:val="32"/>
          <w:szCs w:val="32"/>
          <w:lang w:val="en-US" w:eastAsia="zh-CN" w:bidi="ar-SA"/>
        </w:rPr>
        <w:t>着力推进和美乡村建设。</w:t>
      </w:r>
      <w:r>
        <w:rPr>
          <w:rFonts w:hint="default" w:ascii="仿宋_GB2312" w:hAnsi="仿宋_GB2312" w:eastAsia="仿宋_GB2312" w:cs="仿宋_GB2312"/>
          <w:kern w:val="2"/>
          <w:sz w:val="32"/>
          <w:szCs w:val="32"/>
          <w:lang w:val="zh-TW" w:eastAsia="zh-TW" w:bidi="ar-SA"/>
        </w:rPr>
        <w:t>充分发挥历史文化、自然环境、绿色生态、田园风光的特色资源优势，加快推进桂峰村、书京土堡等传统村落保护修缮，争取成功申报国家级传统村落集中连片保护利用示范县项目。把桂峰村打造成为沪明对口合作乡村振兴新样板。完善乡村基础设施建设，逐步提高农村基础设施完备度、公共服务便利度、人居环境舒适度，实现</w:t>
      </w:r>
      <w:r>
        <w:rPr>
          <w:rFonts w:hint="default" w:ascii="仿宋_GB2312" w:hAnsi="仿宋_GB2312" w:eastAsia="仿宋_GB2312" w:cs="仿宋_GB2312"/>
          <w:kern w:val="2"/>
          <w:sz w:val="32"/>
          <w:szCs w:val="32"/>
          <w:lang w:val="en-US" w:eastAsia="zh-CN" w:bidi="ar-SA"/>
        </w:rPr>
        <w:t>5G</w:t>
      </w:r>
      <w:r>
        <w:rPr>
          <w:rFonts w:hint="default" w:ascii="仿宋_GB2312" w:hAnsi="仿宋_GB2312" w:eastAsia="仿宋_GB2312" w:cs="仿宋_GB2312"/>
          <w:kern w:val="2"/>
          <w:sz w:val="32"/>
          <w:szCs w:val="32"/>
          <w:lang w:val="zh-TW" w:eastAsia="zh-TW" w:bidi="ar-SA"/>
        </w:rPr>
        <w:t>网络行政村全覆盖。稳步推进农村生活垃圾分类，每年选择一个乡镇作为垃圾分类试点。支持建设溪尾乡大宁、埔宁、纲纪人居环境整治提升建设项目。</w:t>
      </w:r>
      <w:r>
        <w:rPr>
          <w:rFonts w:hint="default" w:ascii="仿宋_GB2312" w:hAnsi="仿宋_GB2312" w:eastAsia="仿宋_GB2312" w:cs="仿宋_GB2312"/>
          <w:kern w:val="2"/>
          <w:sz w:val="32"/>
          <w:szCs w:val="32"/>
          <w:lang w:val="zh-CN" w:eastAsia="zh-TW" w:bidi="ar-SA"/>
        </w:rPr>
        <w:t>扎实推进“五好两宜”和美乡村试点试验项目建设，形成</w:t>
      </w:r>
      <w:r>
        <w:rPr>
          <w:rFonts w:hint="default" w:ascii="仿宋_GB2312" w:hAnsi="仿宋_GB2312" w:eastAsia="仿宋_GB2312" w:cs="仿宋_GB2312"/>
          <w:kern w:val="2"/>
          <w:sz w:val="32"/>
          <w:szCs w:val="32"/>
          <w:lang w:val="zh-TW" w:eastAsia="zh-TW" w:bidi="ar-SA"/>
        </w:rPr>
        <w:t>区域</w:t>
      </w:r>
      <w:r>
        <w:rPr>
          <w:rFonts w:hint="default" w:ascii="仿宋_GB2312" w:hAnsi="仿宋_GB2312" w:eastAsia="仿宋_GB2312" w:cs="仿宋_GB2312"/>
          <w:kern w:val="2"/>
          <w:sz w:val="32"/>
          <w:szCs w:val="32"/>
          <w:lang w:val="zh-CN" w:eastAsia="zh-TW" w:bidi="ar-SA"/>
        </w:rPr>
        <w:t>示范效应。</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 w:hAnsi="仿宋" w:eastAsia="仿宋" w:cs="仿宋"/>
          <w:snapToGrid w:val="0"/>
          <w:color w:val="auto"/>
          <w:szCs w:val="32"/>
          <w:highlight w:val="none"/>
          <w:lang w:val="zh-TW" w:eastAsia="zh-TW"/>
        </w:rPr>
      </w:pPr>
      <w:r>
        <w:rPr>
          <w:rFonts w:hint="default" w:ascii="楷体_GB2312" w:hAnsi="楷体_GB2312" w:eastAsia="楷体_GB2312" w:cs="楷体_GB2312"/>
          <w:b/>
          <w:bCs/>
          <w:kern w:val="2"/>
          <w:sz w:val="32"/>
          <w:szCs w:val="32"/>
          <w:lang w:val="en-US" w:eastAsia="zh-CN" w:bidi="ar-SA"/>
        </w:rPr>
        <w:t>推动库区全面振兴。</w:t>
      </w:r>
      <w:r>
        <w:rPr>
          <w:rFonts w:hint="default" w:ascii="仿宋_GB2312" w:hAnsi="仿宋_GB2312" w:eastAsia="仿宋_GB2312" w:cs="仿宋_GB2312"/>
          <w:kern w:val="2"/>
          <w:sz w:val="32"/>
          <w:szCs w:val="32"/>
          <w:lang w:val="zh-TW" w:eastAsia="zh-TW" w:bidi="ar-SA"/>
        </w:rPr>
        <w:t>紧紧围绕水库移民“能搬出、稳得住、能致富”目标，围绕乡村振兴战略实施，根据水库移民扶持扶助政策要求，重点规划移民美丽家园建设、产业转型升级、创业就业能力、散居移民基础设施完善等四个方面内容。进一步提升移民村级环境改善、提高移民村社会治理能力、加强移民户产业创收技能等，让库区和移民安置区社会和谐更加稳定</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移民发展动力更足、增收渠道更宽、产业效益更高、人居环境更美、生活品质更优，移民平均生活水平</w:t>
      </w:r>
      <w:r>
        <w:rPr>
          <w:rFonts w:hint="default" w:ascii="仿宋_GB2312" w:hAnsi="仿宋_GB2312" w:eastAsia="仿宋_GB2312" w:cs="仿宋_GB2312"/>
          <w:kern w:val="2"/>
          <w:sz w:val="32"/>
          <w:szCs w:val="32"/>
          <w:lang w:val="en-US" w:eastAsia="zh-CN" w:bidi="ar-SA"/>
        </w:rPr>
        <w:t>不低于</w:t>
      </w:r>
      <w:r>
        <w:rPr>
          <w:rFonts w:hint="default" w:ascii="仿宋_GB2312" w:hAnsi="仿宋_GB2312" w:eastAsia="仿宋_GB2312" w:cs="仿宋_GB2312"/>
          <w:kern w:val="2"/>
          <w:sz w:val="32"/>
          <w:szCs w:val="32"/>
          <w:lang w:val="zh-TW" w:eastAsia="zh-TW" w:bidi="ar-SA"/>
        </w:rPr>
        <w:t>农村居民平均水平。</w:t>
      </w:r>
    </w:p>
    <w:p>
      <w:pPr>
        <w:pStyle w:val="6"/>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深化农村体制机制改革。</w:t>
      </w:r>
      <w:r>
        <w:rPr>
          <w:rFonts w:hint="default" w:ascii="仿宋_GB2312" w:hAnsi="仿宋_GB2312" w:eastAsia="仿宋_GB2312" w:cs="仿宋_GB2312"/>
          <w:kern w:val="2"/>
          <w:sz w:val="32"/>
          <w:szCs w:val="32"/>
          <w:lang w:val="zh-TW" w:eastAsia="zh-TW" w:bidi="ar-SA"/>
        </w:rPr>
        <w:t>巩固农村基本经营制度，严格落实土地承包关系长久不变政策，完善承包地“三权分置”制度，稳妥完成第二轮土地延包，规范土地流转管理，发展多种形式适度规模经营。盘活土地、宅基地等资源资产，完善“企业+合作社+农户”利益联结机制，拓展农民增收渠道。</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zh-TW" w:eastAsia="zh-TW" w:bidi="ar-SA"/>
        </w:rPr>
      </w:pPr>
      <w:r>
        <w:rPr>
          <w:rFonts w:hint="default" w:ascii="楷体_GB2312" w:hAnsi="楷体_GB2312" w:eastAsia="楷体_GB2312" w:cs="楷体_GB2312"/>
          <w:b/>
          <w:bCs/>
          <w:kern w:val="2"/>
          <w:sz w:val="32"/>
          <w:szCs w:val="32"/>
          <w:lang w:val="zh-CN" w:eastAsia="zh-CN" w:bidi="ar-SA"/>
        </w:rPr>
        <w:t>专栏</w:t>
      </w:r>
      <w:r>
        <w:rPr>
          <w:rFonts w:hint="default" w:ascii="楷体_GB2312" w:hAnsi="楷体_GB2312" w:eastAsia="楷体_GB2312" w:cs="楷体_GB2312"/>
          <w:b/>
          <w:bCs/>
          <w:kern w:val="2"/>
          <w:sz w:val="32"/>
          <w:szCs w:val="32"/>
          <w:lang w:val="en-US" w:eastAsia="zh-CN" w:bidi="ar-SA"/>
        </w:rPr>
        <w:t>23：</w:t>
      </w:r>
      <w:r>
        <w:rPr>
          <w:rFonts w:hint="default" w:ascii="楷体_GB2312" w:hAnsi="楷体_GB2312" w:eastAsia="楷体_GB2312" w:cs="楷体_GB2312"/>
          <w:b/>
          <w:bCs/>
          <w:kern w:val="2"/>
          <w:sz w:val="32"/>
          <w:szCs w:val="32"/>
          <w:lang w:val="zh-CN" w:eastAsia="zh-CN" w:bidi="ar-SA"/>
        </w:rPr>
        <w:t>推动乡村全面振兴行动</w:t>
      </w:r>
    </w:p>
    <w:tbl>
      <w:tblPr>
        <w:tblStyle w:val="19"/>
        <w:tblpPr w:leftFromText="180" w:rightFromText="180" w:vertAnchor="text" w:horzAnchor="page" w:tblpX="1513" w:tblpY="8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9060" w:type="dxa"/>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zh-TW" w:eastAsia="zh-TW" w:bidi="ar-SA"/>
              </w:rPr>
              <w:t>现代农业发展平台</w:t>
            </w:r>
            <w:r>
              <w:rPr>
                <w:rFonts w:hint="eastAsia" w:ascii="仿宋_GB2312" w:hAnsi="仿宋_GB2312" w:eastAsia="仿宋_GB2312" w:cs="仿宋_GB2312"/>
                <w:b/>
                <w:bCs/>
                <w:kern w:val="2"/>
                <w:sz w:val="32"/>
                <w:szCs w:val="32"/>
                <w:lang w:val="zh-TW" w:eastAsia="zh-CN" w:bidi="ar-SA"/>
              </w:rPr>
              <w:t>创建。</w:t>
            </w:r>
            <w:r>
              <w:rPr>
                <w:rFonts w:hint="eastAsia" w:ascii="仿宋_GB2312" w:hAnsi="仿宋_GB2312" w:eastAsia="仿宋_GB2312" w:cs="仿宋_GB2312"/>
                <w:kern w:val="2"/>
                <w:sz w:val="32"/>
                <w:szCs w:val="32"/>
                <w:lang w:val="zh-CN" w:eastAsia="zh-CN" w:bidi="ar-SA"/>
              </w:rPr>
              <w:t>打造台溪茶叶、西滨生猪、汤川蔬菜3个省级产业强镇，推动镇域特色产业实现规模化、集约化、品牌化发展，形成“一镇一业”的鲜明特色；夯实乡村产业基础单元，在茶叶、生猪、食用菌、蔬菜、蛋鸡及农产品精深加工等领域培育20个主导产业突出、联农带农紧密的专业村，激活乡村经济“微细胞”。</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尤溪县坂面镇全域土地综合整治项目。</w:t>
            </w:r>
            <w:r>
              <w:rPr>
                <w:rFonts w:hint="eastAsia" w:ascii="仿宋_GB2312" w:hAnsi="仿宋_GB2312" w:eastAsia="仿宋_GB2312" w:cs="仿宋_GB2312"/>
                <w:kern w:val="2"/>
                <w:sz w:val="32"/>
                <w:szCs w:val="32"/>
                <w:lang w:val="en-US" w:eastAsia="zh-CN" w:bidi="ar-SA"/>
              </w:rPr>
              <w:t>完善和新建污水处理设施、饮用水设施及闽湖周边基础设施，对区域内村庄、工矿用地实施整理，推进低效用地再开发，并对废弃矿山、河道、坑塘等开展系统化生态整治与修复，全面提升区域土地综合利用水平和生态品质。</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zh-TW" w:eastAsia="zh-TW" w:bidi="ar-SA"/>
              </w:rPr>
              <w:t>库区振兴行动。</w:t>
            </w:r>
            <w:r>
              <w:rPr>
                <w:rFonts w:hint="eastAsia" w:ascii="仿宋_GB2312" w:hAnsi="仿宋_GB2312" w:eastAsia="仿宋_GB2312" w:cs="仿宋_GB2312"/>
                <w:kern w:val="2"/>
                <w:sz w:val="32"/>
                <w:szCs w:val="32"/>
                <w:lang w:val="en-US" w:eastAsia="zh-CN" w:bidi="ar-SA"/>
              </w:rPr>
              <w:t>推进移民后期扶持项目建设，完善省级基础设施升级，全方位激活移民安置区发展活力。</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kern w:val="0"/>
                <w:sz w:val="28"/>
                <w:szCs w:val="28"/>
                <w:highlight w:val="none"/>
                <w:shd w:val="clear" w:color="auto" w:fill="FFFFFF"/>
              </w:rPr>
            </w:pPr>
            <w:r>
              <w:rPr>
                <w:rFonts w:hint="eastAsia" w:ascii="仿宋_GB2312" w:hAnsi="仿宋_GB2312" w:eastAsia="仿宋_GB2312" w:cs="仿宋_GB2312"/>
                <w:b/>
                <w:bCs/>
                <w:kern w:val="2"/>
                <w:sz w:val="32"/>
                <w:szCs w:val="32"/>
                <w:lang w:val="zh-TW" w:eastAsia="zh-TW" w:bidi="ar-SA"/>
              </w:rPr>
              <w:t>集镇人居环境综合整治项目。</w:t>
            </w:r>
            <w:r>
              <w:rPr>
                <w:rFonts w:hint="eastAsia" w:ascii="仿宋_GB2312" w:hAnsi="仿宋_GB2312" w:eastAsia="仿宋_GB2312" w:cs="仿宋_GB2312"/>
                <w:kern w:val="2"/>
                <w:sz w:val="32"/>
                <w:szCs w:val="32"/>
                <w:lang w:val="en-US" w:eastAsia="zh-CN" w:bidi="ar-SA"/>
              </w:rPr>
              <w:t>集镇生活污水治理、城镇环卫一体化提升改造等项目，全面改善集镇风貌品质。</w:t>
            </w:r>
          </w:p>
        </w:tc>
      </w:tr>
    </w:tbl>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统筹建立常态化防止返贫致贫机制。</w:t>
      </w:r>
      <w:r>
        <w:rPr>
          <w:rFonts w:hint="eastAsia" w:ascii="仿宋_GB2312" w:hAnsi="仿宋_GB2312" w:eastAsia="仿宋_GB2312" w:cs="仿宋_GB2312"/>
          <w:kern w:val="2"/>
          <w:sz w:val="32"/>
          <w:szCs w:val="32"/>
          <w:lang w:val="en-US" w:eastAsia="zh-CN" w:bidi="ar-SA"/>
        </w:rPr>
        <w:t>优化衔接推进乡村振兴补助资金使用效益，强化产业和就业帮扶，推广“联合久泰联盟党委”抱团发展模式，发挥帮扶车间带动作用，促进脱贫人口和监测对象稳定增收。做好防返贫监督机制，夯实脱贫攻坚成果，确保不发生规模性返贫致贫现象，提升振兴实效。</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snapToGrid w:val="0"/>
          <w:color w:val="auto"/>
          <w:szCs w:val="32"/>
          <w:highlight w:val="none"/>
        </w:rPr>
      </w:pPr>
      <w:bookmarkStart w:id="185" w:name="_Toc2356"/>
      <w:bookmarkStart w:id="186" w:name="_Toc12026"/>
      <w:bookmarkStart w:id="187" w:name="_Toc13155"/>
      <w:bookmarkStart w:id="188" w:name="_Toc17480"/>
      <w:bookmarkStart w:id="189" w:name="_Toc27223"/>
      <w:bookmarkStart w:id="190" w:name="_Toc27849"/>
      <w:r>
        <w:rPr>
          <w:rFonts w:hint="default" w:ascii="黑体" w:hAnsi="黑体" w:eastAsia="黑体" w:cs="黑体"/>
          <w:b w:val="0"/>
          <w:bCs/>
          <w:snapToGrid w:val="0"/>
          <w:color w:val="auto"/>
          <w:szCs w:val="32"/>
          <w:highlight w:val="none"/>
        </w:rPr>
        <w:t>第四节 加快推动城乡融合发展</w:t>
      </w:r>
      <w:bookmarkEnd w:id="185"/>
      <w:bookmarkEnd w:id="186"/>
      <w:bookmarkEnd w:id="187"/>
      <w:bookmarkEnd w:id="188"/>
      <w:bookmarkEnd w:id="189"/>
      <w:bookmarkEnd w:id="190"/>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仿宋_GB2312" w:hAnsi="仿宋_GB2312" w:eastAsia="仿宋_GB2312" w:cs="仿宋_GB2312"/>
          <w:kern w:val="2"/>
          <w:sz w:val="32"/>
          <w:szCs w:val="32"/>
          <w:lang w:val="zh-TW" w:eastAsia="zh-TW" w:bidi="ar-SA"/>
        </w:rPr>
        <w:t>以系统观念与改革思维做好融合文章，聚焦产业协同、要素畅通、数字赋能、服务提质，促进城乡要素平等交换、双向流动，实施以县域为重点推进城乡融合发展，形成</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以城带乡、城乡互促</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新格局。</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 w:hAnsi="仿宋" w:eastAsia="仿宋" w:cs="仿宋"/>
          <w:snapToGrid w:val="0"/>
          <w:color w:val="auto"/>
          <w:szCs w:val="32"/>
          <w:highlight w:val="none"/>
          <w:lang w:val="zh-TW" w:eastAsia="zh-TW"/>
        </w:rPr>
      </w:pPr>
      <w:r>
        <w:rPr>
          <w:rFonts w:hint="default" w:ascii="楷体_GB2312" w:hAnsi="楷体_GB2312" w:eastAsia="楷体_GB2312" w:cs="楷体_GB2312"/>
          <w:b/>
          <w:bCs/>
          <w:kern w:val="2"/>
          <w:sz w:val="32"/>
          <w:szCs w:val="32"/>
          <w:lang w:val="en-US" w:eastAsia="zh-CN" w:bidi="ar-SA"/>
        </w:rPr>
        <w:t>促进城乡产业融合。</w:t>
      </w:r>
      <w:r>
        <w:rPr>
          <w:rFonts w:hint="default" w:ascii="仿宋_GB2312" w:hAnsi="仿宋_GB2312" w:eastAsia="仿宋_GB2312" w:cs="仿宋_GB2312"/>
          <w:kern w:val="2"/>
          <w:sz w:val="32"/>
          <w:szCs w:val="32"/>
          <w:lang w:val="zh-TW" w:eastAsia="zh-TW" w:bidi="ar-SA"/>
        </w:rPr>
        <w:t>以“产城融合”为核心导向，推动城西园、城南园、物流园、竹木加工园等工业园区深度融入城市整体建设格局，以园区发展为牵引，带动城市基础设施更新升级，同步实现产业高质量发展与人口合理集聚，重点推进闽中物流园、电商产业园、垃圾焚烧发电等关键项目建设。支持乡镇企业承接城区代加工订单，促进产业上下游协同发展。基于构建福州都市圈契机共建产业园区，主动对接沪明对口合作项目</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引入外部优质资源，拓展乡村产业发展空间，增强城乡产业联动性。</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促进城乡要素流动。</w:t>
      </w:r>
      <w:r>
        <w:rPr>
          <w:rFonts w:hint="default" w:ascii="仿宋_GB2312" w:hAnsi="仿宋_GB2312" w:eastAsia="仿宋_GB2312" w:cs="仿宋_GB2312"/>
          <w:kern w:val="2"/>
          <w:sz w:val="32"/>
          <w:szCs w:val="32"/>
          <w:lang w:val="zh-TW" w:eastAsia="zh-TW" w:bidi="ar-SA"/>
        </w:rPr>
        <w:t>积极推进人才双向流动，建立“双聘制”，实现城乡教育、医疗人才的双向交流。完善人才住房保障，吸引人才扎根乡村，为乡村发展提供智力支持。鼓励资本下沉乡村，巩固提升国家级普惠金融改革试验区建设成果，引导金融机构因地制宜创新一批县域乡村振兴金融产品，加大对参与尤溪乡村振兴企业的支持力度。深化农村集体产权制度改革，建立健全县域统一的农村综合产权流转交易平台，稳慎推进“农地入市”试点。畅通技术入乡转化，搭建技术供需对接平台，深化与三明农科院、福建农林大学等科研院校的合作，推动设立尤溪特色产业技术研发和成果转化专项。</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lang w:val="zh-TW" w:eastAsia="zh-TW"/>
        </w:rPr>
      </w:pPr>
    </w:p>
    <w:bookmarkEnd w:id="91"/>
    <w:bookmarkEnd w:id="92"/>
    <w:bookmarkEnd w:id="93"/>
    <w:bookmarkEnd w:id="94"/>
    <w:bookmarkEnd w:id="95"/>
    <w:bookmarkEnd w:id="96"/>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color w:val="auto"/>
          <w:szCs w:val="32"/>
          <w:highlight w:val="none"/>
        </w:rPr>
      </w:pPr>
      <w:bookmarkStart w:id="191" w:name="_Toc15217"/>
      <w:r>
        <w:rPr>
          <w:rFonts w:hint="eastAsia" w:ascii="方正小标宋简体" w:hAnsi="方正小标宋简体" w:eastAsia="方正小标宋简体" w:cs="方正小标宋简体"/>
          <w:color w:val="auto"/>
          <w:szCs w:val="32"/>
          <w:highlight w:val="none"/>
        </w:rPr>
        <w:t>第十章 着力多维协作，提升区域竞争优势</w:t>
      </w:r>
      <w:bookmarkEnd w:id="191"/>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立足区域发展战略，着力强化多维协作，提升区域整体竞争力。深度融入福州都市圈，推进交通互联、产业协同和公共服务共享，全面对接闽西南、闽东北协同发展区，着力打造闽中区域经济发展动力源和增长极。</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92" w:name="_Toc15651"/>
      <w:bookmarkStart w:id="193" w:name="_Toc6223"/>
      <w:bookmarkStart w:id="194" w:name="_Toc32626"/>
      <w:bookmarkStart w:id="195" w:name="_Toc13242"/>
      <w:bookmarkStart w:id="196" w:name="_Toc3499"/>
      <w:bookmarkStart w:id="197" w:name="_Toc19369"/>
      <w:r>
        <w:rPr>
          <w:rFonts w:hint="default" w:ascii="黑体" w:hAnsi="黑体" w:eastAsia="黑体" w:cs="黑体"/>
          <w:b w:val="0"/>
          <w:bCs/>
          <w:snapToGrid w:val="0"/>
          <w:color w:val="auto"/>
          <w:szCs w:val="32"/>
          <w:highlight w:val="none"/>
        </w:rPr>
        <w:t xml:space="preserve">第一节 </w:t>
      </w:r>
      <w:bookmarkEnd w:id="192"/>
      <w:bookmarkEnd w:id="193"/>
      <w:bookmarkEnd w:id="194"/>
      <w:bookmarkEnd w:id="195"/>
      <w:bookmarkEnd w:id="196"/>
      <w:r>
        <w:rPr>
          <w:rFonts w:hint="default" w:ascii="黑体" w:hAnsi="黑体" w:eastAsia="黑体" w:cs="黑体"/>
          <w:b w:val="0"/>
          <w:bCs/>
          <w:snapToGrid w:val="0"/>
          <w:color w:val="auto"/>
          <w:szCs w:val="32"/>
          <w:highlight w:val="none"/>
        </w:rPr>
        <w:t>深度融入</w:t>
      </w:r>
      <w:r>
        <w:rPr>
          <w:rFonts w:hint="default" w:ascii="黑体" w:hAnsi="黑体" w:eastAsia="黑体" w:cs="黑体"/>
          <w:b w:val="0"/>
          <w:bCs/>
          <w:snapToGrid w:val="0"/>
          <w:color w:val="auto"/>
          <w:szCs w:val="32"/>
          <w:highlight w:val="none"/>
          <w:lang w:val="zh-TW" w:eastAsia="zh-TW"/>
        </w:rPr>
        <w:t>闽</w:t>
      </w:r>
      <w:r>
        <w:rPr>
          <w:rFonts w:hint="default" w:ascii="黑体" w:hAnsi="黑体" w:eastAsia="黑体" w:cs="黑体"/>
          <w:b w:val="0"/>
          <w:bCs/>
          <w:snapToGrid w:val="0"/>
          <w:color w:val="auto"/>
          <w:szCs w:val="32"/>
          <w:highlight w:val="none"/>
        </w:rPr>
        <w:t>西南</w:t>
      </w:r>
      <w:r>
        <w:rPr>
          <w:rFonts w:hint="default" w:ascii="黑体" w:hAnsi="黑体" w:eastAsia="黑体" w:cs="黑体"/>
          <w:b w:val="0"/>
          <w:bCs/>
          <w:snapToGrid w:val="0"/>
          <w:color w:val="auto"/>
          <w:szCs w:val="32"/>
          <w:highlight w:val="none"/>
          <w:lang w:val="zh-TW" w:eastAsia="zh-TW"/>
        </w:rPr>
        <w:t>协同发展区合作</w:t>
      </w:r>
      <w:bookmarkEnd w:id="197"/>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eastAsia="方正仿宋_GB2312" w:cs="Times New Roman"/>
          <w:color w:val="auto"/>
          <w:highlight w:val="none"/>
        </w:rPr>
      </w:pPr>
      <w:r>
        <w:rPr>
          <w:rFonts w:hint="default" w:ascii="仿宋_GB2312" w:hAnsi="仿宋_GB2312" w:eastAsia="仿宋_GB2312" w:cs="仿宋_GB2312"/>
          <w:kern w:val="2"/>
          <w:sz w:val="32"/>
          <w:szCs w:val="32"/>
          <w:lang w:val="zh-TW" w:eastAsia="zh-TW" w:bidi="ar-SA"/>
        </w:rPr>
        <w:t>立足闽西南协同发展区战略定位，以机制创新为引领、产业协同为核心、文旅融合为特色，全方位深化与周边县市的战略合作，显著提升尤溪在闽西南协同发展区中的节点功能，为县域经济高质量发展拓展新空间。</w:t>
      </w:r>
      <w:r>
        <w:rPr>
          <w:rFonts w:hint="default" w:ascii="仿宋_GB2312" w:hAnsi="仿宋_GB2312" w:eastAsia="仿宋_GB2312" w:cs="仿宋_GB2312"/>
          <w:kern w:val="2"/>
          <w:sz w:val="32"/>
          <w:szCs w:val="32"/>
          <w:lang w:val="en-US" w:eastAsia="zh-CN" w:bidi="ar-SA"/>
        </w:rPr>
        <w:t xml:space="preserve"> </w:t>
      </w:r>
      <w:r>
        <w:rPr>
          <w:rFonts w:hint="default" w:ascii="Times New Roman" w:hAnsi="Times New Roman" w:eastAsia="方正仿宋_GB2312" w:cs="Times New Roman"/>
          <w:color w:val="auto"/>
          <w:highlight w:val="none"/>
        </w:rPr>
        <w:t xml:space="preserve"> </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创新区域协作机制。</w:t>
      </w:r>
      <w:r>
        <w:rPr>
          <w:rFonts w:hint="default" w:ascii="仿宋_GB2312" w:hAnsi="仿宋_GB2312" w:eastAsia="仿宋_GB2312" w:cs="仿宋_GB2312"/>
          <w:kern w:val="2"/>
          <w:sz w:val="32"/>
          <w:szCs w:val="32"/>
          <w:lang w:val="zh-TW" w:eastAsia="zh-TW" w:bidi="ar-SA"/>
        </w:rPr>
        <w:t>建立健全多层次区域协作机制，全面融入闽西南协同发展区建设大局。积极参与闽西南协同发展区市长联席会议，建立县级协调领导小组和产业、交通等专项工作组，开展季度工作对接会商。重点推进数字政府“跨域通办”平台、综合交通网络优化等项目建设，统一政务服务标准，实现高频事项异地办理。同步组建专业招商团队，瞄准数字经济、绿色经济等新兴产业开展联合招商，完善产业转移配套政策，促进区域要素高效流动和产业协同发展。</w:t>
      </w:r>
    </w:p>
    <w:p>
      <w:pPr>
        <w:keepNext w:val="0"/>
        <w:keepLines w:val="0"/>
        <w:pageBreakBefore w:val="0"/>
        <w:widowControl w:val="0"/>
        <w:kinsoku/>
        <w:wordWrap/>
        <w:overflowPunct/>
        <w:topLinePunct w:val="0"/>
        <w:autoSpaceDE/>
        <w:autoSpaceDN/>
        <w:bidi w:val="0"/>
        <w:adjustRightInd/>
        <w:snapToGrid w:val="0"/>
        <w:spacing w:line="560" w:lineRule="exact"/>
        <w:ind w:firstLine="643"/>
        <w:jc w:val="both"/>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共建优势产业集群。</w:t>
      </w:r>
      <w:r>
        <w:rPr>
          <w:rFonts w:hint="default" w:ascii="仿宋_GB2312" w:hAnsi="仿宋_GB2312" w:eastAsia="仿宋_GB2312" w:cs="仿宋_GB2312"/>
          <w:kern w:val="2"/>
          <w:sz w:val="32"/>
          <w:szCs w:val="32"/>
          <w:lang w:val="zh-TW" w:eastAsia="zh-TW" w:bidi="ar-SA"/>
        </w:rPr>
        <w:t>以产业协同为核心抓手，构建产业联动发展新格局。重点推进闽江经济带一体化建设，联合延平、古田、闽清等县市共同打造临港产业走廊，统筹布局矿产精深加工、竹木制品、粮油仓储等专业化产业园区，配套建设数字化多式联运物流枢纽。同步深化现代农业合作，依托闽江航运优势共建农产品冷链物流体系，推动特色农产品标准化生产和品牌化运营，构建跨区域产销一体化协同网络。创新建立“飞地经济”合作机制，探索产业园区共建、项目联合招商、要素资源共享等协同模式，促进产业链上下游深度对接和优势互补，全面提升区域产业整体竞争力。</w:t>
      </w:r>
    </w:p>
    <w:p>
      <w:pPr>
        <w:keepNext w:val="0"/>
        <w:keepLines w:val="0"/>
        <w:pageBreakBefore w:val="0"/>
        <w:widowControl w:val="0"/>
        <w:kinsoku/>
        <w:wordWrap/>
        <w:overflowPunct/>
        <w:topLinePunct w:val="0"/>
        <w:autoSpaceDE/>
        <w:autoSpaceDN/>
        <w:bidi w:val="0"/>
        <w:adjustRightInd/>
        <w:snapToGrid w:val="0"/>
        <w:spacing w:line="560" w:lineRule="exact"/>
        <w:ind w:firstLine="643"/>
        <w:jc w:val="both"/>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激活区域文旅协同效能。</w:t>
      </w:r>
      <w:r>
        <w:rPr>
          <w:rFonts w:hint="default" w:ascii="仿宋_GB2312" w:hAnsi="仿宋_GB2312" w:eastAsia="仿宋_GB2312" w:cs="仿宋_GB2312"/>
          <w:kern w:val="2"/>
          <w:sz w:val="32"/>
          <w:szCs w:val="32"/>
          <w:lang w:val="zh-TW" w:eastAsia="zh-TW" w:bidi="ar-SA"/>
        </w:rPr>
        <w:t>联动厦漳泉等城市文旅地标，串联尤溪侠天下、桂峰古村等优质文旅资源，纳入闽西南“1小时短途度假圈”资源矩阵。紧扣区域“短途高频、深度体验”需求，打造特色定制化文旅产品，与闽西南城市形成差异化供给。加入区域联合推广阵营，借力“清新福建・山海闽西南”品牌势能，通过联展联动、专线推广等形式扩大品牌影响力。</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98" w:name="_Toc3341"/>
      <w:r>
        <w:rPr>
          <w:rFonts w:hint="default" w:ascii="黑体" w:hAnsi="黑体" w:eastAsia="黑体" w:cs="黑体"/>
          <w:b w:val="0"/>
          <w:bCs/>
          <w:snapToGrid w:val="0"/>
          <w:color w:val="auto"/>
          <w:szCs w:val="32"/>
          <w:highlight w:val="none"/>
        </w:rPr>
        <w:t>第二节 持续深化沪明对口合作</w:t>
      </w:r>
      <w:bookmarkEnd w:id="198"/>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仿宋_GB2312" w:hAnsi="仿宋_GB2312" w:eastAsia="仿宋_GB2312" w:cs="仿宋_GB2312"/>
          <w:kern w:val="2"/>
          <w:sz w:val="32"/>
          <w:szCs w:val="32"/>
          <w:lang w:val="zh-TW" w:eastAsia="zh-TW" w:bidi="ar-SA"/>
        </w:rPr>
        <w:t>深化尤溪与杨浦区多领域深层次合作互动，精准开展产业链招商，深化教育、医疗等领域结对共建，推动县乡村多层级共建提质增效，拓展政务服务“跨域通办”范围。</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统筹推进山水林田湖草系统治理。</w:t>
      </w:r>
      <w:r>
        <w:rPr>
          <w:rFonts w:hint="default" w:ascii="仿宋_GB2312" w:hAnsi="仿宋_GB2312" w:eastAsia="仿宋_GB2312" w:cs="仿宋_GB2312"/>
          <w:kern w:val="2"/>
          <w:sz w:val="32"/>
          <w:szCs w:val="32"/>
          <w:lang w:val="zh-TW" w:eastAsia="zh-TW" w:bidi="ar-SA"/>
        </w:rPr>
        <w:t>以尤溪县梅仙镇半山村中华鹭鸟保护地基础设施建设项目一期生态修复专项工程为重点，全面加强生物多样性保护和生态系统修复，为沪明两地深化生态领域合作提供可复制的示范案例。</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 w:hAnsi="仿宋" w:eastAsia="仿宋" w:cs="仿宋"/>
          <w:snapToGrid w:val="0"/>
          <w:color w:val="auto"/>
          <w:szCs w:val="32"/>
          <w:highlight w:val="none"/>
          <w:lang w:val="zh-TW" w:eastAsia="zh-TW"/>
        </w:rPr>
      </w:pPr>
      <w:r>
        <w:rPr>
          <w:rFonts w:hint="default" w:ascii="楷体_GB2312" w:hAnsi="楷体_GB2312" w:eastAsia="楷体_GB2312" w:cs="楷体_GB2312"/>
          <w:b/>
          <w:bCs/>
          <w:kern w:val="2"/>
          <w:sz w:val="32"/>
          <w:szCs w:val="32"/>
          <w:lang w:val="en-US" w:eastAsia="zh-CN" w:bidi="ar-SA"/>
        </w:rPr>
        <w:t>合作探索碳汇生态产品价值实现机制。</w:t>
      </w:r>
      <w:r>
        <w:rPr>
          <w:rFonts w:hint="default" w:ascii="仿宋_GB2312" w:hAnsi="仿宋_GB2312" w:eastAsia="仿宋_GB2312" w:cs="仿宋_GB2312"/>
          <w:kern w:val="2"/>
          <w:sz w:val="32"/>
          <w:szCs w:val="32"/>
          <w:lang w:val="zh-TW" w:eastAsia="zh-TW" w:bidi="ar-SA"/>
        </w:rPr>
        <w:t>重点推进上海—尤溪碳汇林合作项目，建立健全林业碳汇开发、交易和监管体系。通过科学测算碳汇储量，完善生态产品价值评估标准，探索形成可复制、可推广的生态资源价值实现路径。依托闽湖、尤溪侠天下、古溪星河、联合梯田等优质自然资源，打造“森林运动+休闲采摘”“山水运动+深呼吸休闲”“户外运动+耕读文化”“最氧运动+美食疗养”等特色旅游产品体系，形成独具特色的生态旅游目的地，实现生态保护与经济发展良性互动。</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强化基层发展智力支持。</w:t>
      </w:r>
      <w:r>
        <w:rPr>
          <w:rFonts w:hint="default" w:ascii="仿宋_GB2312" w:hAnsi="仿宋_GB2312" w:eastAsia="仿宋_GB2312" w:cs="仿宋_GB2312"/>
          <w:kern w:val="2"/>
          <w:sz w:val="32"/>
          <w:szCs w:val="32"/>
          <w:lang w:val="zh-TW" w:eastAsia="zh-TW" w:bidi="ar-SA"/>
        </w:rPr>
        <w:t>深化教育、医疗、文旅、融媒体等领域结对共建，推动两地4个街道（乡镇）共建提质增效，拓展政务服务“跨域通办”范围。深入推进科技特派员和文化特派员专项项目实施，完善人才选派、管理和激励机制。通过人才下沉、智力下乡，有效激发乡村发展活力，推动产业振兴和文化繁荣，为沪明对口合作提供持续的人才保障和智力支持。</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打造产业协作重要平台。</w:t>
      </w:r>
      <w:r>
        <w:rPr>
          <w:rFonts w:hint="default" w:ascii="仿宋_GB2312" w:hAnsi="仿宋_GB2312" w:eastAsia="仿宋_GB2312" w:cs="仿宋_GB2312"/>
          <w:kern w:val="2"/>
          <w:sz w:val="32"/>
          <w:szCs w:val="32"/>
          <w:lang w:val="zh-TW" w:eastAsia="zh-TW" w:bidi="ar-SA"/>
        </w:rPr>
        <w:t>在杨浦区与尤溪已签订共建高端时尚纺织产业园协议的基础上，进一步深化产业合作。围绕重点产业发展方向，系统梳理关键技术需求和产业链薄弱环节，推动产业精准对接。重点引进一批科技含量高、市场前景好、带动能力强的优质项目，提升产业发展能级。推进六融服装全产业链、上海岳腾食品预制菜、双洋村农文旅、半山村中华鹭鸟保护地基础设施建设等项目建设。</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199" w:name="_Toc28969"/>
      <w:r>
        <w:rPr>
          <w:rFonts w:hint="default" w:ascii="黑体" w:hAnsi="黑体" w:eastAsia="黑体" w:cs="黑体"/>
          <w:b w:val="0"/>
          <w:bCs/>
          <w:snapToGrid w:val="0"/>
          <w:color w:val="auto"/>
          <w:szCs w:val="32"/>
          <w:highlight w:val="none"/>
        </w:rPr>
        <w:t>第三节 做实做深新时代山海协作</w:t>
      </w:r>
      <w:bookmarkEnd w:id="19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仿宋_GB2312" w:hAnsi="仿宋_GB2312" w:eastAsia="仿宋_GB2312" w:cs="仿宋_GB2312"/>
          <w:kern w:val="2"/>
          <w:sz w:val="32"/>
          <w:szCs w:val="32"/>
          <w:lang w:val="zh-TW" w:eastAsia="zh-TW" w:bidi="ar-SA"/>
        </w:rPr>
        <w:t>健全完善新时代山海协作机制，加强山海统筹、强化功能互补，构建多元化、多层次、多领域、多路径的协作发展新格局，绘就山海共生、互利共赢的新画卷。</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加快推进两地产业链协作升级。</w:t>
      </w:r>
      <w:r>
        <w:rPr>
          <w:rFonts w:hint="default" w:ascii="仿宋_GB2312" w:hAnsi="仿宋_GB2312" w:eastAsia="仿宋_GB2312" w:cs="仿宋_GB2312"/>
          <w:kern w:val="2"/>
          <w:sz w:val="32"/>
          <w:szCs w:val="32"/>
          <w:lang w:val="zh-TW" w:eastAsia="zh-TW" w:bidi="ar-SA"/>
        </w:rPr>
        <w:t>紧扣“优势互补、共建共赢”核心，深挖晋江“资金+技术+管理”与尤溪“土地+劳动力+自然资源”互补潜力，创新“沿海研发+山区生产”产业协作模式，深化全方位联动发展。推动晋江经济开发区与尤溪经济开发区合作共建纺织全产业链和数字智能纺织园区，双方共享土地、能源等要素指标，探索联合招商机制，促进尤溪纺织业“智改数转”和产业链升级。推动箱包鞋材帆布生产、尤溪县茶文旅融合发展一期等项目建设。</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推进文旅康养合作。</w:t>
      </w:r>
      <w:r>
        <w:rPr>
          <w:rFonts w:hint="default" w:ascii="仿宋_GB2312" w:hAnsi="仿宋_GB2312" w:eastAsia="仿宋_GB2312" w:cs="仿宋_GB2312"/>
          <w:kern w:val="2"/>
          <w:sz w:val="32"/>
          <w:szCs w:val="32"/>
          <w:lang w:val="zh-TW" w:eastAsia="zh-TW" w:bidi="ar-SA"/>
        </w:rPr>
        <w:t>面向晋江庞大的客源市场，量身定制“生态康养旅居产品”，将尤溪的清新空气、森林秘境、朱子文化，打造成为晋江市民的“康养目的地”和泉州民营经济圈的“精神加油站”。探索“产业联动”与“品牌共塑”。引进晋江资本参与尤溪高端民宿、康养基地投资建设，共同策划“山海对话”主题线路与节庆活动，联合开发精品文旅线路产品，推动景区联票互认机制，培育区域文旅共兴品牌。</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加强人才合作。</w:t>
      </w:r>
      <w:r>
        <w:rPr>
          <w:rFonts w:hint="default" w:ascii="仿宋_GB2312" w:hAnsi="仿宋_GB2312" w:eastAsia="仿宋_GB2312" w:cs="仿宋_GB2312"/>
          <w:kern w:val="2"/>
          <w:sz w:val="32"/>
          <w:szCs w:val="32"/>
          <w:lang w:val="zh-TW" w:eastAsia="zh-TW" w:bidi="ar-SA"/>
        </w:rPr>
        <w:t>支持两地互派优秀干部挂职和专业技术人才交流，重点选派产业、招商、科技、教育、医疗等领域干部人才。支持开展人才异地培养实训活动，组织实施“百名专家联百企”行动，持续推进技术帮扶和技术指导。</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深化教育协作。</w:t>
      </w:r>
      <w:r>
        <w:rPr>
          <w:rFonts w:hint="default" w:ascii="仿宋_GB2312" w:hAnsi="仿宋_GB2312" w:eastAsia="仿宋_GB2312" w:cs="仿宋_GB2312"/>
          <w:kern w:val="2"/>
          <w:sz w:val="32"/>
          <w:szCs w:val="32"/>
          <w:lang w:val="zh-TW" w:eastAsia="zh-TW" w:bidi="ar-SA"/>
        </w:rPr>
        <w:t>持续做好结对学校共建交流协作，合作共建学校。推进教师协同培养，加强学科教研互动，拓展两地学校师生线上线下教育交流活动。推动两地综合实践学校互派师生开展研学实践、素质拓展等活动。加强校企合作，支持尤溪县职业中专学校与晋江鞋服、文旅康养等产业、企业衔接合作。</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lang w:val="zh-TW" w:eastAsia="zh-TW"/>
        </w:rPr>
      </w:pPr>
      <w:bookmarkStart w:id="200" w:name="_Toc4267"/>
      <w:r>
        <w:rPr>
          <w:rFonts w:hint="default" w:ascii="黑体" w:hAnsi="黑体" w:eastAsia="黑体" w:cs="黑体"/>
          <w:b w:val="0"/>
          <w:bCs/>
          <w:snapToGrid w:val="0"/>
          <w:color w:val="auto"/>
          <w:szCs w:val="32"/>
          <w:highlight w:val="none"/>
        </w:rPr>
        <w:t xml:space="preserve">第四节 </w:t>
      </w:r>
      <w:r>
        <w:rPr>
          <w:rFonts w:hint="default" w:ascii="黑体" w:hAnsi="黑体" w:eastAsia="黑体" w:cs="黑体"/>
          <w:b w:val="0"/>
          <w:bCs/>
          <w:snapToGrid w:val="0"/>
          <w:color w:val="auto"/>
          <w:szCs w:val="32"/>
          <w:highlight w:val="none"/>
          <w:lang w:val="zh-TW" w:eastAsia="zh-TW"/>
        </w:rPr>
        <w:t>深度融入福州都市圈</w:t>
      </w:r>
      <w:bookmarkEnd w:id="200"/>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仿宋_GB2312" w:hAnsi="仿宋_GB2312" w:eastAsia="仿宋_GB2312" w:cs="仿宋_GB2312"/>
          <w:kern w:val="2"/>
          <w:sz w:val="32"/>
          <w:szCs w:val="32"/>
          <w:lang w:val="zh-TW" w:eastAsia="zh-TW" w:bidi="ar-SA"/>
        </w:rPr>
        <w:t>紧扣福州都市圈发展规划，以交通互联为基础、产业协同为核心、服务共享为支撑，全方位深化与福州新区的战略合作，提升尤溪在福州都市圈中的战略地位，推动形成优势互补、互利共赢的区域发展共同体。</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畅通交通网络体系。</w:t>
      </w:r>
      <w:r>
        <w:rPr>
          <w:rFonts w:hint="default" w:ascii="仿宋_GB2312" w:hAnsi="仿宋_GB2312" w:eastAsia="仿宋_GB2312" w:cs="仿宋_GB2312"/>
          <w:kern w:val="2"/>
          <w:sz w:val="32"/>
          <w:szCs w:val="32"/>
          <w:lang w:val="zh-TW" w:eastAsia="zh-TW" w:bidi="ar-SA"/>
        </w:rPr>
        <w:t>充分发挥尤溪区位优势，以交通联通为先导，全面对接福州新区发展。加快推进福银高速公路尤溪支线项目建设，加快构建“1小时通勤圈”，实现与福州新区快速联通。加快对接区域综合交通网络，持续增强对外通达能力和物流集散能力。依托沙县机场、鹰厦铁路、昌厦铁路等通道资源，优化与省会福州、海港厦门等核心节点的衔接；支持推进闽江尤溪口至尤溪雍口桥航道工程，加快三明港尤溪港区西滨作业区、尤溪口作业区泊位项目建设，拓展内河运输能力，逐步构建多式联运、互联互通的对外开放通道体系，为产业“引进来、走出去”创造更加有利的交通条件。</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打造产业协同发展示范区。</w:t>
      </w:r>
      <w:r>
        <w:rPr>
          <w:rFonts w:hint="default" w:ascii="仿宋_GB2312" w:hAnsi="仿宋_GB2312" w:eastAsia="仿宋_GB2312" w:cs="仿宋_GB2312"/>
          <w:kern w:val="2"/>
          <w:sz w:val="32"/>
          <w:szCs w:val="32"/>
          <w:lang w:val="zh-TW" w:eastAsia="zh-TW" w:bidi="ar-SA"/>
        </w:rPr>
        <w:t>充分发挥区位和资源优势，积极对接福州新区产业发展规划，积极承接福州新区“产业飞地”转移项目，打造进口资源加工和出口产品生产的重要基地。同时，依托现代物流和电子商务产业优势，深度参与福州新区面向台商和内地城市的商务会展活动，促进产业链上下游协同发展。通过建立“研发在福州、生产在尤溪”的产业协作模式，推动区域要素高效流动，实现产业互补共赢。</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推进公共服务共建共享。</w:t>
      </w:r>
      <w:r>
        <w:rPr>
          <w:rFonts w:hint="default" w:ascii="仿宋_GB2312" w:hAnsi="仿宋_GB2312" w:eastAsia="仿宋_GB2312" w:cs="仿宋_GB2312"/>
          <w:kern w:val="2"/>
          <w:sz w:val="32"/>
          <w:szCs w:val="32"/>
          <w:lang w:val="zh-TW" w:eastAsia="zh-TW" w:bidi="ar-SA"/>
        </w:rPr>
        <w:t>着力构建区域公共服务协同发展新机制，以教育医疗资源跨区域共享为重点，全面拓展公共服务协同供给领域，让群众享受更加便捷优质的公共服务。深化教育医疗协作，强化医疗合作实效。与福州都市圈优质学校和医疗机构建立结对帮扶关系，开展联合教研、远程医疗等常态化合作。支持两地开展公立医院改革与高质量发展等医改经验交流培训；两地医保部门加强三医联动协同改革。支持两地妇幼保健院共建妇女儿童专科联盟，强化行业急需紧缺人才协同培养。深化政务服务“跨域通办”改革，推动电子证照互认和业务系统互联互通，实现高频民生事项异地办理。完善社会保障衔接机制，实现医保结算、社保转移等业务无缝对接。整合区域公共服务资源，建设数字化民生服务平台，推动就业、养老、社会救助等服务协同供给，构建覆盖全生命周期的区域公共服务保障体系。</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eastAsia" w:ascii="楷体_GB2312" w:hAnsi="楷体_GB2312" w:eastAsia="楷体_GB2312" w:cs="楷体_GB2312"/>
          <w:b/>
          <w:bCs/>
          <w:kern w:val="2"/>
          <w:sz w:val="32"/>
          <w:szCs w:val="32"/>
          <w:lang w:val="en-US" w:eastAsia="zh-CN" w:bidi="ar-SA"/>
        </w:rPr>
        <w:t>打造福州都市圈“文化后花园”</w:t>
      </w:r>
      <w:r>
        <w:rPr>
          <w:rFonts w:hint="default" w:ascii="楷体_GB2312" w:hAnsi="楷体_GB2312" w:eastAsia="楷体_GB2312" w:cs="楷体_GB2312"/>
          <w:b/>
          <w:bCs/>
          <w:kern w:val="2"/>
          <w:sz w:val="32"/>
          <w:szCs w:val="32"/>
          <w:lang w:val="en-US" w:eastAsia="zh-CN" w:bidi="ar-SA"/>
        </w:rPr>
        <w:t>。</w:t>
      </w:r>
      <w:r>
        <w:rPr>
          <w:rFonts w:hint="default" w:ascii="仿宋_GB2312" w:hAnsi="仿宋_GB2312" w:eastAsia="仿宋_GB2312" w:cs="仿宋_GB2312"/>
          <w:kern w:val="2"/>
          <w:sz w:val="32"/>
          <w:szCs w:val="32"/>
          <w:lang w:val="zh-TW" w:eastAsia="zh-TW" w:bidi="ar-SA"/>
        </w:rPr>
        <w:t>深化“大武夷闽江水上环带旅游联盟”合作，锚定福州都市圈协同发展，通过资源、产品、营销三维发力，推动尤溪深度融入都市圈旅游市场，高效引客入尤。以闽江为脉串联联盟生态、文化资源，联动福州文旅地标，构建“都市+山水”跨区资源集群，释放尤溪地理邻近优势。紧扣都市圈“周末微度假”需求，定制“文化研学+生态静修”“亲子耕读+水上探秘”等深度线路，锁定城市高端客群。整合联盟与福州都市圈推广渠道，借助“旅游一卡通”“专线直通车”等政策举措，降低游客决策成本，实现家门口到景区无缝衔接。</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zh-TW" w:eastAsia="zh-TW"/>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专栏24：区域协作重大工程</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福州都市圈协作项目。</w:t>
            </w:r>
            <w:r>
              <w:rPr>
                <w:rFonts w:hint="eastAsia" w:ascii="仿宋_GB2312" w:hAnsi="仿宋_GB2312" w:eastAsia="仿宋_GB2312" w:cs="仿宋_GB2312"/>
                <w:kern w:val="2"/>
                <w:sz w:val="32"/>
                <w:szCs w:val="32"/>
                <w:lang w:val="en-US" w:eastAsia="zh-CN" w:bidi="ar-SA"/>
              </w:rPr>
              <w:t>加快完成福银高速公路尤溪支线、闽江尤溪口至尤溪雍口桥航道工程、三明港尤溪港区西滨作业区及尤溪雍口作业区泊位建设。依托产业协同发展平台、智能多式联运物流枢纽平台、数字化民生服务平台等载体，推进“飞地经济”合作、公共服务共建共享等项目。</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闽西南协同发展区协作项目。</w:t>
            </w:r>
            <w:r>
              <w:rPr>
                <w:rFonts w:hint="eastAsia" w:ascii="仿宋_GB2312" w:hAnsi="仿宋_GB2312" w:eastAsia="仿宋_GB2312" w:cs="仿宋_GB2312"/>
                <w:kern w:val="2"/>
                <w:sz w:val="32"/>
                <w:szCs w:val="32"/>
                <w:lang w:val="en-US" w:eastAsia="zh-CN" w:bidi="ar-SA"/>
              </w:rPr>
              <w:t>依托闽西南协同发展区市长联席会议、数字政府“跨域通办”平台、智慧旅游服务平台、联合招商与产业转移平台等载体，实施闽江经济带一体化建设、农产品冷链物流体系、朱子文化园创建、精品旅游线路联合开发等项目。</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泉明山海协作项目。</w:t>
            </w:r>
            <w:r>
              <w:rPr>
                <w:rFonts w:hint="eastAsia" w:ascii="仿宋_GB2312" w:hAnsi="仿宋_GB2312" w:eastAsia="仿宋_GB2312" w:cs="仿宋_GB2312"/>
                <w:kern w:val="2"/>
                <w:sz w:val="32"/>
                <w:szCs w:val="32"/>
                <w:lang w:val="en-US" w:eastAsia="zh-CN" w:bidi="ar-SA"/>
              </w:rPr>
              <w:t>依托产销对接平台、产业承接平台、政府协调平台、尤溪—晋江产业协同发展平台、文旅合作联盟、要素资源与联合招商信息平台等载体，实施晋江—尤溪纺织全产业链及数字智能纺织园区共建、联合招商机制探索、尤溪—晋江精品旅游线路开发等项目。</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kern w:val="0"/>
                <w:sz w:val="28"/>
                <w:szCs w:val="28"/>
                <w:highlight w:val="none"/>
              </w:rPr>
            </w:pPr>
            <w:r>
              <w:rPr>
                <w:rFonts w:hint="eastAsia" w:ascii="仿宋_GB2312" w:hAnsi="仿宋_GB2312" w:eastAsia="仿宋_GB2312" w:cs="仿宋_GB2312"/>
                <w:b/>
                <w:bCs/>
                <w:kern w:val="2"/>
                <w:sz w:val="32"/>
                <w:szCs w:val="32"/>
                <w:lang w:val="en-US" w:eastAsia="zh-CN" w:bidi="ar-SA"/>
              </w:rPr>
              <w:t>沪明对口合作项目。</w:t>
            </w:r>
            <w:r>
              <w:rPr>
                <w:rFonts w:hint="eastAsia" w:ascii="仿宋_GB2312" w:hAnsi="仿宋_GB2312" w:eastAsia="仿宋_GB2312" w:cs="仿宋_GB2312"/>
                <w:kern w:val="2"/>
                <w:sz w:val="32"/>
                <w:szCs w:val="32"/>
                <w:lang w:val="en-US" w:eastAsia="zh-CN" w:bidi="ar-SA"/>
              </w:rPr>
              <w:t>依托产业转移与技术合作平台、农业合作与果蔬供应链平台、预制菜与冷链物流合作平台、教育与医疗资源共享平台、农业合作与品牌推广平台等载体，实施果蔬加工与供应链合作、茶油种植与文旅融合、尤溪供销合作社与上海蔬菜集团对接、预制菜产业基地与配送中心和冷链物流中心建设、优质果蔬保供基地和特色农产品供应基地建设、高级纺织产业合作园、运动服装制造产业链、“尤溪农特”品牌推广等项目。</w:t>
            </w:r>
          </w:p>
        </w:tc>
      </w:tr>
    </w:tbl>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color w:val="auto"/>
          <w:sz w:val="32"/>
          <w:szCs w:val="32"/>
          <w:highlight w:val="none"/>
        </w:rPr>
      </w:pPr>
      <w:bookmarkStart w:id="201" w:name="_Toc16536"/>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default" w:ascii="Times New Roman" w:hAnsi="Times New Roman" w:eastAsia="黑体" w:cs="Times New Roman"/>
          <w:color w:val="auto"/>
          <w:szCs w:val="32"/>
          <w:highlight w:val="none"/>
        </w:rPr>
      </w:pPr>
      <w:r>
        <w:rPr>
          <w:rFonts w:hint="eastAsia" w:ascii="方正小标宋简体" w:hAnsi="方正小标宋简体" w:eastAsia="方正小标宋简体" w:cs="方正小标宋简体"/>
          <w:color w:val="auto"/>
          <w:szCs w:val="32"/>
          <w:highlight w:val="none"/>
        </w:rPr>
        <w:t>第十一章 着力绿色转型，推动建设美丽尤溪</w:t>
      </w:r>
      <w:bookmarkEnd w:id="201"/>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TW" w:eastAsia="zh-TW" w:bidi="ar-SA"/>
        </w:rPr>
        <w:t>牢固树立和践行</w:t>
      </w:r>
      <w:r>
        <w:rPr>
          <w:rFonts w:hint="eastAsia" w:ascii="仿宋_GB2312" w:hAnsi="仿宋_GB2312" w:eastAsia="仿宋_GB2312" w:cs="仿宋_GB2312"/>
          <w:kern w:val="2"/>
          <w:sz w:val="32"/>
          <w:szCs w:val="32"/>
          <w:lang w:val="zh-TW" w:eastAsia="zh-CN" w:bidi="ar-SA"/>
        </w:rPr>
        <w:t>“</w:t>
      </w:r>
      <w:r>
        <w:rPr>
          <w:rFonts w:hint="eastAsia" w:ascii="仿宋_GB2312" w:hAnsi="仿宋_GB2312" w:eastAsia="仿宋_GB2312" w:cs="仿宋_GB2312"/>
          <w:kern w:val="2"/>
          <w:sz w:val="32"/>
          <w:szCs w:val="32"/>
          <w:lang w:val="zh-TW" w:eastAsia="zh-TW" w:bidi="ar-SA"/>
        </w:rPr>
        <w:t>绿水青山就是金山银山</w:t>
      </w:r>
      <w:r>
        <w:rPr>
          <w:rFonts w:hint="eastAsia" w:ascii="仿宋_GB2312" w:hAnsi="仿宋_GB2312" w:eastAsia="仿宋_GB2312" w:cs="仿宋_GB2312"/>
          <w:kern w:val="2"/>
          <w:sz w:val="32"/>
          <w:szCs w:val="32"/>
          <w:lang w:val="zh-TW" w:eastAsia="zh-CN" w:bidi="ar-SA"/>
        </w:rPr>
        <w:t>”</w:t>
      </w:r>
      <w:r>
        <w:rPr>
          <w:rFonts w:hint="eastAsia" w:ascii="仿宋_GB2312" w:hAnsi="仿宋_GB2312" w:eastAsia="仿宋_GB2312" w:cs="仿宋_GB2312"/>
          <w:kern w:val="2"/>
          <w:sz w:val="32"/>
          <w:szCs w:val="32"/>
          <w:lang w:val="zh-TW" w:eastAsia="zh-TW" w:bidi="ar-SA"/>
        </w:rPr>
        <w:t>的理念，加快推进人与自然和谐共生的现代化，巩固拓展国家生态文明试验区建设成果，聚焦建设美丽尤溪，厚植尤溪高质量发展的绿色底色。</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02" w:name="_Toc29027"/>
      <w:bookmarkStart w:id="203" w:name="_Toc3775"/>
      <w:bookmarkStart w:id="204" w:name="_Toc28579"/>
      <w:bookmarkStart w:id="205" w:name="_Toc5476"/>
      <w:bookmarkStart w:id="206" w:name="_Toc5140"/>
      <w:bookmarkStart w:id="207" w:name="_Toc7565"/>
      <w:r>
        <w:rPr>
          <w:rFonts w:hint="default" w:ascii="黑体" w:hAnsi="黑体" w:eastAsia="黑体" w:cs="黑体"/>
          <w:b w:val="0"/>
          <w:bCs/>
          <w:snapToGrid w:val="0"/>
          <w:color w:val="auto"/>
          <w:szCs w:val="32"/>
          <w:highlight w:val="none"/>
        </w:rPr>
        <w:t>第一节 筑牢闽江上游生态屏障</w:t>
      </w:r>
      <w:bookmarkEnd w:id="202"/>
      <w:bookmarkEnd w:id="203"/>
      <w:bookmarkEnd w:id="204"/>
      <w:bookmarkEnd w:id="205"/>
      <w:bookmarkEnd w:id="206"/>
      <w:bookmarkEnd w:id="207"/>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坚定不移走生态优先</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en-US" w:eastAsia="zh-CN" w:bidi="ar-SA"/>
        </w:rPr>
        <w:t>绿色发展</w:t>
      </w:r>
      <w:r>
        <w:rPr>
          <w:rFonts w:hint="default" w:ascii="仿宋_GB2312" w:hAnsi="仿宋_GB2312" w:eastAsia="仿宋_GB2312" w:cs="仿宋_GB2312"/>
          <w:kern w:val="2"/>
          <w:sz w:val="32"/>
          <w:szCs w:val="32"/>
          <w:lang w:val="zh-TW" w:eastAsia="zh-TW" w:bidi="ar-SA"/>
        </w:rPr>
        <w:t>之路，从水资源保护、生态系统建设、生态补偿机制等方面精准施策，全面深化生态保护工作，为闽江流域筑牢生态安全屏障。</w:t>
      </w:r>
    </w:p>
    <w:p>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严格落实水域保护红线。</w:t>
      </w:r>
      <w:r>
        <w:rPr>
          <w:rFonts w:hint="default" w:ascii="仿宋_GB2312" w:hAnsi="仿宋_GB2312" w:eastAsia="仿宋_GB2312" w:cs="仿宋_GB2312"/>
          <w:kern w:val="2"/>
          <w:sz w:val="32"/>
          <w:szCs w:val="32"/>
          <w:lang w:val="zh-TW" w:eastAsia="zh-TW" w:bidi="ar-SA"/>
        </w:rPr>
        <w:t>强化闽江上游尤溪流域刚性监管，严格落实水域保护红线，实施水资源消耗总量和强度双控，系统推进重点生态区域水环境综合治理与可持续发展，促进水环境治理与生态修复、生物多样性保护、废弃矿山生态修复等有机结合。积极参与省级闽江流域综合治理工程，与福州闽清县、南平延平区、宁德古田县建立闽江干流水口库区水环境治理“四地四县（区）”联防联控机制，与泉州德化县、大田县建立闽湖水环境“两地三县”治理联防联控机制，积极配合上级相关部门开展闽江口污染物溯源工作，加强县域内入河排污口的总氮、总磷等污染物监测与控制，主动减少对下游及河口的生态压力。</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 w:hAnsi="仿宋" w:eastAsia="仿宋" w:cs="仿宋"/>
          <w:snapToGrid w:val="0"/>
          <w:color w:val="auto"/>
          <w:szCs w:val="32"/>
          <w:highlight w:val="none"/>
        </w:rPr>
      </w:pPr>
      <w:r>
        <w:rPr>
          <w:rFonts w:hint="default" w:ascii="仿宋_GB2312" w:hAnsi="仿宋_GB2312" w:eastAsia="仿宋_GB2312" w:cs="仿宋_GB2312"/>
          <w:kern w:val="2"/>
          <w:sz w:val="32"/>
          <w:szCs w:val="32"/>
          <w:lang w:val="zh-TW" w:eastAsia="zh-TW" w:bidi="ar-SA"/>
        </w:rPr>
        <w:t>到2030年，全面建成水清景美的水环境体系、河畅岸绿的水生态体系和稳定可靠的水安全体系，为推进美丽尤溪建设打造流域治理样板。</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稳步推进生态系统建设。</w:t>
      </w:r>
      <w:r>
        <w:rPr>
          <w:rFonts w:hint="default" w:ascii="仿宋_GB2312" w:hAnsi="仿宋_GB2312" w:eastAsia="仿宋_GB2312" w:cs="仿宋_GB2312"/>
          <w:kern w:val="2"/>
          <w:sz w:val="32"/>
          <w:szCs w:val="32"/>
          <w:lang w:val="zh-TW" w:eastAsia="zh-TW" w:bidi="ar-SA"/>
        </w:rPr>
        <w:t>统筹推进山水林田湖草</w:t>
      </w:r>
      <w:r>
        <w:rPr>
          <w:rFonts w:hint="default" w:ascii="仿宋_GB2312" w:hAnsi="仿宋_GB2312" w:eastAsia="仿宋_GB2312" w:cs="仿宋_GB2312"/>
          <w:kern w:val="2"/>
          <w:sz w:val="32"/>
          <w:szCs w:val="32"/>
          <w:lang w:val="en-US" w:eastAsia="zh-CN" w:bidi="ar-SA"/>
        </w:rPr>
        <w:t>沙</w:t>
      </w:r>
      <w:r>
        <w:rPr>
          <w:rFonts w:hint="default" w:ascii="仿宋_GB2312" w:hAnsi="仿宋_GB2312" w:eastAsia="仿宋_GB2312" w:cs="仿宋_GB2312"/>
          <w:kern w:val="2"/>
          <w:sz w:val="32"/>
          <w:szCs w:val="32"/>
          <w:lang w:val="zh-TW" w:eastAsia="zh-TW" w:bidi="ar-SA"/>
        </w:rPr>
        <w:t>一体化保护和系统治理，以九阜山等自然保护区为重点，实施重要生态系统保护和修复工程,维护生物多样性，提升水源涵养功能，全面夯实绿色发展的生态基础。着力提高生态系统韧性，提升森林碳汇能力，促进自然生态系统质量整体改善，推进以天下侠谷森林公园、枕头山森林公园为主体的自然保护地体系建设，推行草原森林河流湖泊湿地休养生息，提升生态系统多样性、稳定性、持续性。统筹推进水土流失与河湖生态系统治理，提升水生态系统质量稳定性，筑牢“幸福河湖”基础。</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健全完善生态补偿机制。</w:t>
      </w:r>
      <w:r>
        <w:rPr>
          <w:rFonts w:hint="default" w:ascii="仿宋_GB2312" w:hAnsi="仿宋_GB2312" w:eastAsia="仿宋_GB2312" w:cs="仿宋_GB2312"/>
          <w:kern w:val="2"/>
          <w:sz w:val="32"/>
          <w:szCs w:val="32"/>
          <w:lang w:val="zh-TW" w:eastAsia="zh-TW" w:bidi="ar-SA"/>
        </w:rPr>
        <w:t>依托“山海协作”等跨域合作工程，与闽江周边地区合作健全完善闽江流域上下游横向生态补偿机制，完善生态补偿办法，明确生态补偿的主体、对象和标准，设立生态补偿专项基金，并以专项基金为中心轴形成生态补偿奖惩机制，推进生态补偿制度一体化建设。完善生态资源价值评价体系，推进水资源、森林资源、湿地资源等生态资源价值化，创新生态资源运营模式，通过“沪明对口合作”发展生态旅游、碳汇交易、生态补偿等方式，将尤溪的“绿水青山”真正转化为保障“碧水银滩”的生态贡献。</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08" w:name="_Toc2066"/>
      <w:bookmarkStart w:id="209" w:name="_Toc23859"/>
      <w:bookmarkStart w:id="210" w:name="_Toc25593"/>
      <w:bookmarkStart w:id="211" w:name="_Toc26792"/>
      <w:bookmarkStart w:id="212" w:name="_Toc10110"/>
      <w:bookmarkStart w:id="213" w:name="_Toc18285"/>
      <w:r>
        <w:rPr>
          <w:rFonts w:hint="default" w:ascii="黑体" w:hAnsi="黑体" w:eastAsia="黑体" w:cs="黑体"/>
          <w:b w:val="0"/>
          <w:bCs/>
          <w:snapToGrid w:val="0"/>
          <w:color w:val="auto"/>
          <w:szCs w:val="32"/>
          <w:highlight w:val="none"/>
        </w:rPr>
        <w:t>第二节 构建绿色循环产业体系</w:t>
      </w:r>
      <w:bookmarkEnd w:id="208"/>
      <w:bookmarkEnd w:id="209"/>
      <w:bookmarkEnd w:id="210"/>
      <w:bookmarkEnd w:id="211"/>
      <w:bookmarkEnd w:id="212"/>
      <w:bookmarkEnd w:id="213"/>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 w:hAnsi="仿宋" w:eastAsia="仿宋" w:cs="仿宋"/>
          <w:snapToGrid w:val="0"/>
          <w:color w:val="auto"/>
          <w:szCs w:val="32"/>
          <w:highlight w:val="none"/>
        </w:rPr>
      </w:pPr>
      <w:r>
        <w:rPr>
          <w:rFonts w:hint="default" w:ascii="仿宋_GB2312" w:hAnsi="仿宋_GB2312" w:eastAsia="仿宋_GB2312" w:cs="仿宋_GB2312"/>
          <w:kern w:val="2"/>
          <w:sz w:val="32"/>
          <w:szCs w:val="32"/>
          <w:lang w:val="zh-TW" w:eastAsia="zh-TW" w:bidi="ar-SA"/>
        </w:rPr>
        <w:t>坚定不移走绿色发展之路，聚焦产业绿色化转型，培育绿色新兴产业集群，延伸绿色产业链条，系统推进绿色循环经济建设，重点布局推动数字化和绿色化协同发展，切实将生态优势转化为绿色生产力。</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积极推进产业绿色转型。</w:t>
      </w:r>
      <w:r>
        <w:rPr>
          <w:rFonts w:hint="default" w:ascii="仿宋_GB2312" w:hAnsi="仿宋_GB2312" w:eastAsia="仿宋_GB2312" w:cs="仿宋_GB2312"/>
          <w:kern w:val="2"/>
          <w:sz w:val="32"/>
          <w:szCs w:val="32"/>
          <w:lang w:val="zh-TW" w:eastAsia="zh-TW" w:bidi="ar-SA"/>
        </w:rPr>
        <w:t>主动融入全省“山海协作绿色低碳转型”布局。依托沪明对口合作、尤溪—晋江协作等机制，重点引进沿海地区的绿色低碳技术和资本，推动纺织、竹木等传统产业与沿海的新材料、新能源产业形成循环链接。依托绿色产业示范区建设，加快绿色科技创新和先进绿色技术推广应用，以市场需求为导向，攻克并落实一批技术水平先进、减排效果突出、示范效应明显的项目，加快推动绿色低碳技术应用。集中精力做强绿色制造业、发展绿色服务业、壮大绿色能源产业，基于《绿色低碳转型产业指导目录（2024年版）》厘清绿色产业边界，明确绿色产业发展重点方向，推动绿色产业体系建设提质扩面，横向统筹实施绿色诊断、绿色改造升级、绿色企业培育，纵向开展县、镇（乡）、村各级绿色产业体系建设。畅通产融合作机制，用好转型金融、碳减排支持工具等，着力解决绿色低碳技术突破、传统产业绿色化转型改造、绿色工厂和绿色企业培育融资难题。</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积极打造绿色产业链条。</w:t>
      </w:r>
      <w:r>
        <w:rPr>
          <w:rFonts w:hint="default" w:ascii="仿宋_GB2312" w:hAnsi="仿宋_GB2312" w:eastAsia="仿宋_GB2312" w:cs="仿宋_GB2312"/>
          <w:kern w:val="2"/>
          <w:sz w:val="32"/>
          <w:szCs w:val="32"/>
          <w:lang w:val="zh-TW" w:eastAsia="zh-TW" w:bidi="ar-SA"/>
        </w:rPr>
        <w:t>以实现碳达峰目标为引领，从标杆、标准和服务等层面支持企业打造绿色低碳供应链，着力提升绿色低碳产业结构比重、先进适用绿色低碳技术和装备的普及率、绿色能源和再生资源利用率，带动生产方式、产业结构发生根本性转变。培育绿色低碳供应链管理企业，引导更多企业制定供应链碳减排计划，将绿色低碳要求融入供应商准入标准，实施可持续采购。夯实标准数据基础，完善重点产品碳足迹标准体系，建立符合实际要求的产品碳足迹数据库。</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积极发展现代循环经济。</w:t>
      </w:r>
      <w:r>
        <w:rPr>
          <w:rFonts w:hint="default" w:ascii="仿宋_GB2312" w:hAnsi="仿宋_GB2312" w:eastAsia="仿宋_GB2312" w:cs="仿宋_GB2312"/>
          <w:kern w:val="2"/>
          <w:sz w:val="32"/>
          <w:szCs w:val="32"/>
          <w:lang w:val="zh-TW" w:eastAsia="zh-TW" w:bidi="ar-SA"/>
        </w:rPr>
        <w:t>着力构建现代循环经济体系，力争成为闽中地区循环经济创新发展示范区。深化产业循环化改造，聚焦纺织、竹木加工、新材料等传统优势产业，推动企业间废弃物、余热余压、副产物跨企循环，培育一批循环经济示范企业。提升资源集约利用水平，深化能源梯级利用、水资源循环利用、废弃物交换利用、土地集约利用水平，着力提升工业余热回收利用率和工业用水重复利用率，推动工业固废、建筑垃圾、再生资源跨区域协同处置。推进危废品处理项目，探索飞灰、炉渣等副产物的安全处置与综合利用新方式。创新循环经济体制机制，探索循环经济与碳汇交易相结合的模式。</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积极推动数绿协同发展。</w:t>
      </w:r>
      <w:r>
        <w:rPr>
          <w:rFonts w:hint="default" w:ascii="仿宋_GB2312" w:hAnsi="仿宋_GB2312" w:eastAsia="仿宋_GB2312" w:cs="仿宋_GB2312"/>
          <w:kern w:val="2"/>
          <w:sz w:val="32"/>
          <w:szCs w:val="32"/>
          <w:lang w:val="zh-TW" w:eastAsia="zh-TW" w:bidi="ar-SA"/>
        </w:rPr>
        <w:t>促进产业智改与生态协同双轮驱动，打造闽中智造新范式，以制造流程数字化推动降低资源能源消耗和减少排放，聚焦纺织、竹木、机械电子等特色产业，充分利用好开发区绿色智造产业园项目，推进智能服务平台、产业公共服务信息化建设，实施制造流程深度智改，构建双化协同创新生态。深度融合数字基建与绿色发展，创新“区块链”与再生资源相结合的发展模式，着力提升再生资源回收利用率。</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仿宋_GB2312" w:hAnsi="仿宋_GB2312" w:eastAsia="仿宋_GB2312" w:cs="仿宋_GB2312"/>
          <w:kern w:val="2"/>
          <w:sz w:val="32"/>
          <w:szCs w:val="32"/>
          <w:lang w:val="zh-TW" w:eastAsia="zh-TW" w:bidi="ar-SA"/>
        </w:rPr>
        <w:t>推动全域治理升级与循环增效，开发尤溪双化协同集成平台，积极培育专业的数字化绿色化解决方案服务商和公共服务平台，提供企业碳排核算、绿电交易等一站式服务，探索建立基于供应链的数字化碳排放管理体系，形成循环经济统计核算体系，争创数字化绿色化转型标杆县。</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14" w:name="_Toc2384"/>
      <w:bookmarkStart w:id="215" w:name="_Toc3340"/>
      <w:bookmarkStart w:id="216" w:name="_Toc30132"/>
      <w:bookmarkStart w:id="217" w:name="_Toc2269"/>
      <w:bookmarkStart w:id="218" w:name="_Toc27820"/>
      <w:bookmarkStart w:id="219" w:name="_Toc20207"/>
      <w:r>
        <w:rPr>
          <w:rFonts w:hint="default" w:ascii="黑体" w:hAnsi="黑体" w:eastAsia="黑体" w:cs="黑体"/>
          <w:b w:val="0"/>
          <w:bCs/>
          <w:snapToGrid w:val="0"/>
          <w:color w:val="auto"/>
          <w:szCs w:val="32"/>
          <w:highlight w:val="none"/>
        </w:rPr>
        <w:t>第三节 提升生态</w:t>
      </w:r>
      <w:bookmarkEnd w:id="214"/>
      <w:bookmarkEnd w:id="215"/>
      <w:bookmarkEnd w:id="216"/>
      <w:bookmarkEnd w:id="217"/>
      <w:r>
        <w:rPr>
          <w:rFonts w:hint="default" w:ascii="黑体" w:hAnsi="黑体" w:eastAsia="黑体" w:cs="黑体"/>
          <w:b w:val="0"/>
          <w:bCs/>
          <w:snapToGrid w:val="0"/>
          <w:color w:val="auto"/>
          <w:szCs w:val="32"/>
          <w:highlight w:val="none"/>
        </w:rPr>
        <w:t>污染治理水平</w:t>
      </w:r>
      <w:bookmarkEnd w:id="218"/>
      <w:bookmarkEnd w:id="21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 w:hAnsi="仿宋" w:eastAsia="仿宋" w:cs="仿宋"/>
          <w:snapToGrid w:val="0"/>
          <w:color w:val="auto"/>
          <w:szCs w:val="32"/>
          <w:highlight w:val="none"/>
        </w:rPr>
      </w:pPr>
      <w:r>
        <w:rPr>
          <w:rFonts w:hint="default" w:ascii="仿宋_GB2312" w:hAnsi="仿宋_GB2312" w:eastAsia="仿宋_GB2312" w:cs="仿宋_GB2312"/>
          <w:kern w:val="2"/>
          <w:sz w:val="32"/>
          <w:szCs w:val="32"/>
          <w:lang w:val="zh-TW" w:eastAsia="zh-TW" w:bidi="ar-SA"/>
        </w:rPr>
        <w:t>坚持精准治污、科学治污、依法治污，以更高标准打好蓝天、碧水、净土保卫战，统筹资源、环境治理，构建全链条污染防治体系。</w:t>
      </w:r>
    </w:p>
    <w:p>
      <w:pPr>
        <w:keepNext w:val="0"/>
        <w:keepLines w:val="0"/>
        <w:pageBreakBefore w:val="0"/>
        <w:widowControl w:val="0"/>
        <w:kinsoku/>
        <w:wordWrap/>
        <w:overflowPunct/>
        <w:topLinePunct w:val="0"/>
        <w:autoSpaceDE/>
        <w:autoSpaceDN/>
        <w:bidi w:val="0"/>
        <w:adjustRightInd/>
        <w:snapToGrid w:val="0"/>
        <w:spacing w:line="560" w:lineRule="exact"/>
        <w:ind w:firstLine="643"/>
        <w:jc w:val="both"/>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强化生态污染源头防控。</w:t>
      </w:r>
      <w:r>
        <w:rPr>
          <w:rFonts w:hint="default" w:ascii="仿宋_GB2312" w:hAnsi="仿宋_GB2312" w:eastAsia="仿宋_GB2312" w:cs="仿宋_GB2312"/>
          <w:kern w:val="2"/>
          <w:sz w:val="32"/>
          <w:szCs w:val="32"/>
          <w:lang w:val="zh-TW" w:eastAsia="zh-TW" w:bidi="ar-SA"/>
        </w:rPr>
        <w:t>严格落实水域保护红线，强化闽江上游尤溪流域监管，建立上下游联防联控机制，</w:t>
      </w:r>
      <w:r>
        <w:rPr>
          <w:rFonts w:hint="default" w:ascii="仿宋_GB2312" w:hAnsi="仿宋_GB2312" w:eastAsia="仿宋_GB2312" w:cs="仿宋_GB2312"/>
          <w:kern w:val="2"/>
          <w:sz w:val="32"/>
          <w:szCs w:val="32"/>
          <w:lang w:val="en-US" w:eastAsia="zh-CN" w:bidi="ar-SA"/>
        </w:rPr>
        <w:t>保持</w:t>
      </w:r>
      <w:r>
        <w:rPr>
          <w:rFonts w:hint="default" w:ascii="仿宋_GB2312" w:hAnsi="仿宋_GB2312" w:eastAsia="仿宋_GB2312" w:cs="仿宋_GB2312"/>
          <w:kern w:val="2"/>
          <w:sz w:val="32"/>
          <w:szCs w:val="32"/>
          <w:lang w:val="zh-TW" w:eastAsia="zh-TW" w:bidi="ar-SA"/>
        </w:rPr>
        <w:t>8个国省控断面及11个小流域断面优质水比例保持100%。统筹山水林田湖草系统治理，实施闽湖、半山村等重要生态系统保护修复工程，筑牢生物多样性保护屏障，稳步增强森林碳汇功能。加强大气污染联防联控，重点推进纺织、竹木加工等行业清洁原料替代，建设若干集中喷涂中心，推动秸秆综合利用，确保空气质量优良天数比率稳定在98%以上。结合国土空间规划完善园区配套设施，加快建设管前工业片区污水处理厂，完善城南工业集中区污水处理厂及配套管网，重点推进污水厂及污水管道、供水厂及供水管网、电网、通讯等相关基础设施配套建设，确保园区工业废水达标排放。</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加强土壤污染源头防控，开展耕地土壤环境质量类别划分，建立优先保护类耕地“田长制”，严控建设用地准入，推进矿山历史遗留问题排查整治，建立污染地块名录及开发利用负面清单，推动固废资源化利用与危险废物规范化处置，构建“无废城市”体系。推动历史遗留矿山、固体废物治理，开展土壤重金属污染源头管控。</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深化生态污染协同治理。</w:t>
      </w:r>
      <w:r>
        <w:rPr>
          <w:rFonts w:hint="default" w:ascii="仿宋_GB2312" w:hAnsi="仿宋_GB2312" w:eastAsia="仿宋_GB2312" w:cs="仿宋_GB2312"/>
          <w:kern w:val="2"/>
          <w:sz w:val="32"/>
          <w:szCs w:val="32"/>
          <w:lang w:val="zh-TW" w:eastAsia="zh-TW" w:bidi="ar-SA"/>
        </w:rPr>
        <w:t>聚焦生态保护与修复，统筹“山水林田湖草”一体化治理，实施闽湖、紫阳湖富营养化水体生态清淤与湿地保护工程，构建“水下森林”净化系统。利用工业固废制备透水砖等新型建材，完善危险废物收运网络。创新污染物治理机制，开展抗生素、微塑料等污染监测，推动纺织印染行业绿色技术替代。落实差别化电价政策，探索生态环境导向开发模式，吸引社会资本参与生态修复。</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引导多方参与绿色改造。</w:t>
      </w:r>
      <w:r>
        <w:rPr>
          <w:rFonts w:hint="default" w:ascii="仿宋_GB2312" w:hAnsi="仿宋_GB2312" w:eastAsia="仿宋_GB2312" w:cs="仿宋_GB2312"/>
          <w:kern w:val="2"/>
          <w:sz w:val="32"/>
          <w:szCs w:val="32"/>
          <w:lang w:val="zh-TW" w:eastAsia="zh-TW" w:bidi="ar-SA"/>
        </w:rPr>
        <w:t>构建智慧化环境治理体系，升级“生态云”平台功能，实现污染源全景画像与非现场监管。完善环境治理统计核算与评价体系，严格实现绿色发展目标责任制，将环境保护情况、资源产出率、废弃物综合利用率等指标纳入乡镇（园区）考核。推行绿色信贷与环保信用结合机制，将环境违法记录纳入企业信用评价。鼓励支持全民共治共享，培育环保志愿者队伍，完善公众参与机制。</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20" w:name="_Toc25558"/>
      <w:bookmarkStart w:id="221" w:name="_Toc24776"/>
      <w:r>
        <w:rPr>
          <w:rFonts w:hint="default" w:ascii="黑体" w:hAnsi="黑体" w:eastAsia="黑体" w:cs="黑体"/>
          <w:b w:val="0"/>
          <w:bCs/>
          <w:snapToGrid w:val="0"/>
          <w:color w:val="auto"/>
          <w:szCs w:val="32"/>
          <w:highlight w:val="none"/>
        </w:rPr>
        <w:t>第四节 建设生态宜居美丽家园</w:t>
      </w:r>
      <w:bookmarkEnd w:id="220"/>
      <w:bookmarkEnd w:id="221"/>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深入挖掘尤溪生态资源，以“山水城田人”和谐共生为目标，统筹生态保护与民生改善，打造具有闽中特色的生态宜居样板。</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升级城乡环境基础设施。</w:t>
      </w:r>
      <w:r>
        <w:rPr>
          <w:rFonts w:hint="default" w:ascii="仿宋_GB2312" w:hAnsi="仿宋_GB2312" w:eastAsia="仿宋_GB2312" w:cs="仿宋_GB2312"/>
          <w:kern w:val="2"/>
          <w:sz w:val="32"/>
          <w:szCs w:val="32"/>
          <w:lang w:val="zh-TW" w:eastAsia="zh-TW" w:bidi="ar-SA"/>
        </w:rPr>
        <w:t>改善农村人居环境，设立专项投资实施农村人居环境整治提升行动，完善村落污水管网、垃圾分类等基础设施，开展厕所革命、垃圾治理、污水治理、农房整治、村容村貌提升等整治行动。积极推进尤溪县乡镇生活污水处理建设项目，新建及提升改造乡镇污水处理厂，提高污水处理效率，建设污水管网以及污水提升泵站，同步建设接户管、检查井、路面破除恢复、运维监管平台等其他基础设施与配套附属设施。</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践行绿色生产生活方式。</w:t>
      </w:r>
      <w:r>
        <w:rPr>
          <w:rFonts w:hint="default" w:ascii="仿宋_GB2312" w:hAnsi="仿宋_GB2312" w:eastAsia="仿宋_GB2312" w:cs="仿宋_GB2312"/>
          <w:kern w:val="2"/>
          <w:sz w:val="32"/>
          <w:szCs w:val="32"/>
          <w:lang w:val="zh-TW" w:eastAsia="zh-TW" w:bidi="ar-SA"/>
        </w:rPr>
        <w:t>引导居民形成绿色意识，开展“最美庭院”“无废小区”“绿色家庭”等培育计划，推广绿色生活讲座等主题活动，鼓励居民参与垃圾分类</w:t>
      </w:r>
      <w:r>
        <w:rPr>
          <w:rFonts w:hint="default" w:ascii="仿宋_GB2312" w:hAnsi="仿宋_GB2312" w:eastAsia="仿宋_GB2312" w:cs="仿宋_GB2312"/>
          <w:kern w:val="2"/>
          <w:sz w:val="32"/>
          <w:szCs w:val="32"/>
          <w:lang w:val="en-US" w:eastAsia="zh-CN" w:bidi="ar-SA"/>
        </w:rPr>
        <w:t>与</w:t>
      </w:r>
      <w:r>
        <w:rPr>
          <w:rFonts w:hint="default" w:ascii="仿宋_GB2312" w:hAnsi="仿宋_GB2312" w:eastAsia="仿宋_GB2312" w:cs="仿宋_GB2312"/>
          <w:kern w:val="2"/>
          <w:sz w:val="32"/>
          <w:szCs w:val="32"/>
          <w:lang w:val="zh-TW" w:eastAsia="zh-TW" w:bidi="ar-SA"/>
        </w:rPr>
        <w:t>减碳积分兑换，</w:t>
      </w:r>
      <w:r>
        <w:rPr>
          <w:rFonts w:hint="default" w:ascii="仿宋_GB2312" w:hAnsi="仿宋_GB2312" w:eastAsia="仿宋_GB2312" w:cs="仿宋_GB2312"/>
          <w:kern w:val="2"/>
          <w:sz w:val="32"/>
          <w:szCs w:val="32"/>
          <w:lang w:val="en-US" w:eastAsia="zh-CN" w:bidi="ar-SA"/>
        </w:rPr>
        <w:t>推动</w:t>
      </w:r>
      <w:r>
        <w:rPr>
          <w:rFonts w:hint="default" w:ascii="仿宋_GB2312" w:hAnsi="仿宋_GB2312" w:eastAsia="仿宋_GB2312" w:cs="仿宋_GB2312"/>
          <w:kern w:val="2"/>
          <w:sz w:val="32"/>
          <w:szCs w:val="32"/>
          <w:lang w:val="zh-TW" w:eastAsia="zh-TW" w:bidi="ar-SA"/>
        </w:rPr>
        <w:t>形成全民垃圾分类、低碳生活</w:t>
      </w:r>
      <w:r>
        <w:rPr>
          <w:rFonts w:hint="default" w:ascii="仿宋_GB2312" w:hAnsi="仿宋_GB2312" w:eastAsia="仿宋_GB2312" w:cs="仿宋_GB2312"/>
          <w:kern w:val="2"/>
          <w:sz w:val="32"/>
          <w:szCs w:val="32"/>
          <w:lang w:val="en-US" w:eastAsia="zh-CN" w:bidi="ar-SA"/>
        </w:rPr>
        <w:t>的良好风尚</w:t>
      </w:r>
      <w:r>
        <w:rPr>
          <w:rFonts w:hint="default" w:ascii="仿宋_GB2312" w:hAnsi="仿宋_GB2312" w:eastAsia="仿宋_GB2312" w:cs="仿宋_GB2312"/>
          <w:kern w:val="2"/>
          <w:sz w:val="32"/>
          <w:szCs w:val="32"/>
          <w:lang w:val="zh-TW" w:eastAsia="zh-TW" w:bidi="ar-SA"/>
        </w:rPr>
        <w:t>。发展绿色交通体系，增添新能源公交车、充电桩等，建设自行车专用道，倡导绿色出行模式。打造“低碳生活圈”，以居民需求为核心，实施农贸市场升级工程，促进乡镇市场便利化，形成集约高效、环境友好的社区生活模式。</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形成生态宜居共治机制。</w:t>
      </w:r>
      <w:r>
        <w:rPr>
          <w:rFonts w:hint="default" w:ascii="仿宋_GB2312" w:hAnsi="仿宋_GB2312" w:eastAsia="仿宋_GB2312" w:cs="仿宋_GB2312"/>
          <w:kern w:val="2"/>
          <w:sz w:val="32"/>
          <w:szCs w:val="32"/>
          <w:lang w:val="zh-TW" w:eastAsia="zh-TW" w:bidi="ar-SA"/>
        </w:rPr>
        <w:t>加快形成城乡居民共建共治共享格局，建立“社区营造师”制度，培育居民自治团队，引导群众参与老旧小区改造、口袋公园建设。探索建立生态环境健康指数评价体系，将PM2.5等指标纳入民生考核，落实主体责任，定期发布生态宜居指数报告，持续提升群众参与感、获得感与幸福感。</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专栏25：绿色生态文明建设项目</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尤溪县山水林田湖草生态保护和修复项目。</w:t>
            </w:r>
            <w:r>
              <w:rPr>
                <w:rFonts w:hint="eastAsia" w:ascii="仿宋_GB2312" w:hAnsi="仿宋_GB2312" w:eastAsia="仿宋_GB2312" w:cs="仿宋_GB2312"/>
                <w:kern w:val="2"/>
                <w:sz w:val="32"/>
                <w:szCs w:val="32"/>
                <w:lang w:val="en-US" w:eastAsia="zh-CN" w:bidi="ar-SA"/>
              </w:rPr>
              <w:t>以梯田生态系统保护为重点，开展区内地质和生态环境地质的调查，开展修复及保护性措施的现场足尺试验，研究富水梯田整体稳定平衡控制技术，研发生态、环保、环境友好的防控措施，部署与全球重要农业文化遗产相协调的防控计划。结合农业、林业、水利、景观、道路、居民点，融合梯田保护规划、乡村振兴规划与美丽乡村建设等进行整体综合防控。</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尤溪生态环境综合整治工程。</w:t>
            </w:r>
            <w:r>
              <w:rPr>
                <w:rFonts w:hint="eastAsia" w:ascii="仿宋_GB2312" w:hAnsi="仿宋_GB2312" w:eastAsia="仿宋_GB2312" w:cs="仿宋_GB2312"/>
                <w:kern w:val="2"/>
                <w:sz w:val="32"/>
                <w:szCs w:val="32"/>
                <w:lang w:val="en-US" w:eastAsia="zh-CN" w:bidi="ar-SA"/>
              </w:rPr>
              <w:t>强化闽湖跨境支流上下游联防联控，重点推进闽江上游印染行业深度治理，通过实施尤溪湖库化水体深度治理，清淤底泥等方法，改善溶解氧。提升小流域治理效能，防治水土流失，管控农业源及汛期污染。</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森林生态屏障建设工程。</w:t>
            </w:r>
            <w:r>
              <w:rPr>
                <w:rFonts w:hint="eastAsia" w:ascii="仿宋_GB2312" w:hAnsi="仿宋_GB2312" w:eastAsia="仿宋_GB2312" w:cs="仿宋_GB2312"/>
                <w:kern w:val="2"/>
                <w:sz w:val="32"/>
                <w:szCs w:val="32"/>
                <w:lang w:val="en-US" w:eastAsia="zh-CN" w:bidi="ar-SA"/>
              </w:rPr>
              <w:t>重点推进九阜山等自然保护区建设，构建以天下侠谷森林公园、枕头山森林公园为主体的自然保护地体系。开展森林质量精准提升工程，培育珍贵树种用材林，提高全县森林覆盖率，全面提升森林碳汇能力和生物多样性保护水平。</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尤溪现代循环经济项目。</w:t>
            </w:r>
            <w:r>
              <w:rPr>
                <w:rFonts w:hint="eastAsia" w:ascii="仿宋_GB2312" w:hAnsi="仿宋_GB2312" w:eastAsia="仿宋_GB2312" w:cs="仿宋_GB2312"/>
                <w:kern w:val="2"/>
                <w:sz w:val="32"/>
                <w:szCs w:val="32"/>
                <w:lang w:val="en-US" w:eastAsia="zh-CN" w:bidi="ar-SA"/>
              </w:rPr>
              <w:t>围绕循环经济体系建设，开展工业废物处置项目、建筑废弃物资源化综合利用项目、生活垃圾焚烧发电等绿色循环经济项目。推进西滨横坑地块固废处置项目，探索飞灰、炉渣等副产物的安全处置与综合利用，推动经济高质量发展和生态环境保护协同共进。</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尤溪美丽家园建设项目。</w:t>
            </w:r>
            <w:r>
              <w:rPr>
                <w:rFonts w:hint="eastAsia" w:ascii="仿宋_GB2312" w:hAnsi="仿宋_GB2312" w:eastAsia="仿宋_GB2312" w:cs="仿宋_GB2312"/>
                <w:kern w:val="2"/>
                <w:sz w:val="32"/>
                <w:szCs w:val="32"/>
                <w:lang w:val="en-US" w:eastAsia="zh-CN" w:bidi="ar-SA"/>
              </w:rPr>
              <w:t>立足于乡村人居环境全面提升，以生态宜居和可持续发展为核心，持续推动农村生活污水治理，改善农村人居环境，推动两山转化，推进美丽乡村建设。</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尤溪美丽园区建设项目。</w:t>
            </w:r>
            <w:r>
              <w:rPr>
                <w:rFonts w:hint="eastAsia" w:ascii="仿宋_GB2312" w:hAnsi="仿宋_GB2312" w:eastAsia="仿宋_GB2312" w:cs="仿宋_GB2312"/>
                <w:kern w:val="2"/>
                <w:sz w:val="32"/>
                <w:szCs w:val="32"/>
                <w:lang w:val="en-US" w:eastAsia="zh-CN" w:bidi="ar-SA"/>
              </w:rPr>
              <w:t>在城南园建设“绿色纺织示范园”，推广数字化、清洁化生产技术，支持龙头企业建设光伏屋顶，实现能源自给，建立废旧纺织品回收再利用体系；在竹木园建设“绿色竹家居产业园”。</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尤溪县“幸福河湖”建设项目。</w:t>
            </w:r>
            <w:r>
              <w:rPr>
                <w:rFonts w:hint="eastAsia" w:ascii="仿宋_GB2312" w:hAnsi="仿宋_GB2312" w:eastAsia="仿宋_GB2312" w:cs="仿宋_GB2312"/>
                <w:kern w:val="2"/>
                <w:sz w:val="32"/>
                <w:szCs w:val="32"/>
                <w:lang w:val="en-US" w:eastAsia="zh-CN" w:bidi="ar-SA"/>
              </w:rPr>
              <w:t>紧扣尤溪各流域的“生态优势”、“产业特色”、“文旅特点”等资源及治理基础，开展尤溪县幸福河湖建设。</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 w:hAnsi="仿宋" w:eastAsia="仿宋" w:cs="仿宋"/>
                <w:color w:val="auto"/>
                <w:sz w:val="28"/>
                <w:szCs w:val="28"/>
                <w:highlight w:val="none"/>
              </w:rPr>
            </w:pPr>
            <w:r>
              <w:rPr>
                <w:rFonts w:hint="eastAsia" w:ascii="仿宋_GB2312" w:hAnsi="仿宋_GB2312" w:eastAsia="仿宋_GB2312" w:cs="仿宋_GB2312"/>
                <w:b/>
                <w:bCs/>
                <w:kern w:val="2"/>
                <w:sz w:val="32"/>
                <w:szCs w:val="32"/>
                <w:lang w:val="en-US" w:eastAsia="zh-CN" w:bidi="ar-SA"/>
              </w:rPr>
              <w:t>尤溪县小流域水土流失综合治理。</w:t>
            </w:r>
            <w:r>
              <w:rPr>
                <w:rFonts w:hint="eastAsia" w:ascii="仿宋_GB2312" w:hAnsi="仿宋_GB2312" w:eastAsia="仿宋_GB2312" w:cs="仿宋_GB2312"/>
                <w:kern w:val="2"/>
                <w:sz w:val="32"/>
                <w:szCs w:val="32"/>
                <w:lang w:val="en-US" w:eastAsia="zh-CN" w:bidi="ar-SA"/>
              </w:rPr>
              <w:t>围绕保护修复流域水生态系统，因地制宜实施封禁治理、生态护岸、清淤清障、河岸绿化美化、水保生态园等措施，守护绿水青山，实现河畅景美。</w:t>
            </w:r>
          </w:p>
        </w:tc>
      </w:tr>
    </w:tbl>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color w:val="auto"/>
          <w:szCs w:val="32"/>
          <w:highlight w:val="none"/>
        </w:rPr>
      </w:pPr>
      <w:bookmarkStart w:id="222" w:name="_Toc21711"/>
      <w:bookmarkStart w:id="223" w:name="_Toc17258"/>
      <w:bookmarkStart w:id="224" w:name="_Toc9097"/>
      <w:bookmarkStart w:id="225" w:name="_Toc15664"/>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color w:val="auto"/>
          <w:szCs w:val="32"/>
          <w:highlight w:val="none"/>
        </w:rPr>
      </w:pPr>
      <w:r>
        <w:rPr>
          <w:rFonts w:hint="eastAsia" w:ascii="方正小标宋简体" w:hAnsi="方正小标宋简体" w:eastAsia="方正小标宋简体" w:cs="方正小标宋简体"/>
          <w:color w:val="auto"/>
          <w:szCs w:val="32"/>
          <w:highlight w:val="none"/>
        </w:rPr>
        <w:t>第十二章 着力改善民生，绘就共富美好图景</w:t>
      </w:r>
      <w:bookmarkEnd w:id="222"/>
      <w:bookmarkEnd w:id="223"/>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TW" w:eastAsia="zh-TW" w:bidi="ar-SA"/>
        </w:rPr>
        <w:t>坚持人民至上，坚持尽力而为、量力而行，加强普惠性、基础性、兜底性民生建设，高标准抓好为民办实事项目，解决好人民群众急难愁盼问题，畅通社会流动渠道，提高人民生活品质。</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26" w:name="_Toc18918"/>
      <w:bookmarkStart w:id="227" w:name="_Toc20092"/>
      <w:bookmarkStart w:id="228" w:name="_Toc18442"/>
      <w:bookmarkStart w:id="229" w:name="_Toc22309"/>
      <w:bookmarkStart w:id="230" w:name="_Toc22784"/>
      <w:bookmarkStart w:id="231" w:name="_Toc14633"/>
      <w:r>
        <w:rPr>
          <w:rFonts w:hint="default" w:ascii="黑体" w:hAnsi="黑体" w:eastAsia="黑体" w:cs="黑体"/>
          <w:b w:val="0"/>
          <w:bCs/>
          <w:snapToGrid w:val="0"/>
          <w:color w:val="auto"/>
          <w:szCs w:val="32"/>
          <w:highlight w:val="none"/>
        </w:rPr>
        <w:t>第一节 促进高质量充分就业</w:t>
      </w:r>
      <w:bookmarkEnd w:id="226"/>
      <w:bookmarkEnd w:id="227"/>
      <w:bookmarkEnd w:id="228"/>
      <w:bookmarkEnd w:id="229"/>
      <w:bookmarkEnd w:id="230"/>
      <w:bookmarkEnd w:id="231"/>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把就业工作作为民生头等大事摆到突出位置，重点聚焦经济发展扩就业、重点群体稳就业、技能提升促就业、优化服务帮就业，促进实现高质量充分就业。</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积极落实就业政策。</w:t>
      </w:r>
      <w:r>
        <w:rPr>
          <w:rFonts w:hint="default" w:ascii="仿宋_GB2312" w:hAnsi="仿宋_GB2312" w:eastAsia="仿宋_GB2312" w:cs="仿宋_GB2312"/>
          <w:kern w:val="2"/>
          <w:sz w:val="32"/>
          <w:szCs w:val="32"/>
          <w:lang w:val="zh-TW" w:eastAsia="zh-TW" w:bidi="ar-SA"/>
        </w:rPr>
        <w:t>制定和完善促进就业的政策措施，建立健全公共就业服务体系，全力加速尤溪县公共实训基地项目的落地实施，积极培育创建“紫阳茶工”劳务品牌。持续开展实施“逢十进企解难题，人社服务零距离”活动，常态化做好企业用工服务保障工作。落实稳就业政策，优化“暖企行动”联系服务机制，做到“重点企业，重点服务”，推进“入企探岗”带岗直播，实现企业、求职者精准对接。</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加强综合就业服务站点建设。</w:t>
      </w:r>
      <w:r>
        <w:rPr>
          <w:rFonts w:hint="default" w:ascii="仿宋_GB2312" w:hAnsi="仿宋_GB2312" w:eastAsia="仿宋_GB2312" w:cs="仿宋_GB2312"/>
          <w:kern w:val="2"/>
          <w:sz w:val="32"/>
          <w:szCs w:val="32"/>
          <w:lang w:val="zh-TW" w:eastAsia="zh-TW" w:bidi="ar-SA"/>
        </w:rPr>
        <w:t>推动就业服务站点向产业园区、零工市场、农村地区等区域布局，建成覆盖城乡的“15分钟就业服务圈”。打造就业公共服务数智平台，推动就业指导、零工招聘、权益保障等功能模块集成，实现供需双方“一库智配”、实时推送，推动就业服务从“基础保障”向“品质提升”转变。拓宽用工渠道，纵深推进与省外劳务协作，升级跨省“驻点招工”行动。</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提升重点人群创业带动就业能力。</w:t>
      </w:r>
      <w:r>
        <w:rPr>
          <w:rFonts w:hint="default" w:ascii="仿宋_GB2312" w:hAnsi="仿宋_GB2312" w:eastAsia="仿宋_GB2312" w:cs="仿宋_GB2312"/>
          <w:kern w:val="2"/>
          <w:sz w:val="32"/>
          <w:szCs w:val="32"/>
          <w:lang w:val="zh-TW" w:eastAsia="zh-TW" w:bidi="ar-SA"/>
        </w:rPr>
        <w:t>把高校毕业生、登记失业半年以上人员、就业困难人员、持证残疾人、自主就业退役军人列为“重点人群”，实施“一人一策”帮扶和分段补贴办法支持创业。加大创业培训力度，鼓励行业主管部门和地方政府围绕县域重点产业链和新兴产业、未来产业发展需求开发特色创业培训项目。挖掘平台经济、小店经济孕育创业、吸纳就业潜力，加大对农村电商、跨境电商等新就业形态和灵活就业中有创业需求人员的创业培训。</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加大困难人员就业援助。</w:t>
      </w:r>
      <w:r>
        <w:rPr>
          <w:rFonts w:hint="default" w:ascii="仿宋_GB2312" w:hAnsi="仿宋_GB2312" w:eastAsia="仿宋_GB2312" w:cs="仿宋_GB2312"/>
          <w:kern w:val="2"/>
          <w:sz w:val="32"/>
          <w:szCs w:val="32"/>
          <w:lang w:val="zh-TW" w:eastAsia="zh-TW" w:bidi="ar-SA"/>
        </w:rPr>
        <w:t>将零就业家庭、低保及低保边缘家庭、脱贫户和大龄、残疾、长期失业等人员纳入就业困难人员援助范围，给予相应的社保补贴、岗位补贴等政策支持。每年组织企业助残就业专场招聘活动。围绕企业需求和困难就业群体就业意愿，开展“订单式”培训，建立“需求导向+分类培训”机制，提升就业转化率。健全失业风险预防和调控机制，建立失业监测预警和风险应急机制。</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zh-TW" w:eastAsia="zh-TW"/>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zh-CN" w:eastAsia="zh-CN" w:bidi="ar-SA"/>
        </w:rPr>
        <w:t>专栏</w:t>
      </w:r>
      <w:r>
        <w:rPr>
          <w:rFonts w:hint="default" w:ascii="楷体_GB2312" w:hAnsi="楷体_GB2312" w:eastAsia="楷体_GB2312" w:cs="楷体_GB2312"/>
          <w:b/>
          <w:bCs/>
          <w:kern w:val="2"/>
          <w:sz w:val="32"/>
          <w:szCs w:val="32"/>
          <w:lang w:val="en-US" w:eastAsia="zh-CN" w:bidi="ar-SA"/>
        </w:rPr>
        <w:t>26：</w:t>
      </w:r>
      <w:r>
        <w:rPr>
          <w:rFonts w:hint="default" w:ascii="楷体_GB2312" w:hAnsi="楷体_GB2312" w:eastAsia="楷体_GB2312" w:cs="楷体_GB2312"/>
          <w:b/>
          <w:bCs/>
          <w:kern w:val="2"/>
          <w:sz w:val="32"/>
          <w:szCs w:val="32"/>
          <w:lang w:val="zh-CN" w:eastAsia="zh-CN" w:bidi="ar-SA"/>
        </w:rPr>
        <w:t>就业创业重大工程</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尤溪县公共实训基地建设项目。</w:t>
            </w:r>
            <w:r>
              <w:rPr>
                <w:rFonts w:hint="eastAsia" w:ascii="仿宋_GB2312" w:hAnsi="仿宋_GB2312" w:eastAsia="仿宋_GB2312" w:cs="仿宋_GB2312"/>
                <w:kern w:val="2"/>
                <w:sz w:val="32"/>
                <w:szCs w:val="32"/>
                <w:lang w:val="en-US" w:eastAsia="zh-CN" w:bidi="ar-SA"/>
              </w:rPr>
              <w:t>为本地职业院校学生、企业在职员工提供高质量实操培训，有效提升各类群体技能水平；为外地技能人才提供实践创业平台，增强尤溪县对技能型人才的吸引力，助力县域主导产业转型升级与经济高质量发展。</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kern w:val="0"/>
                <w:sz w:val="28"/>
                <w:szCs w:val="28"/>
                <w:highlight w:val="none"/>
                <w:shd w:val="clear" w:color="auto" w:fill="FFFFFF"/>
              </w:rPr>
            </w:pPr>
            <w:r>
              <w:rPr>
                <w:rFonts w:hint="eastAsia" w:ascii="仿宋_GB2312" w:hAnsi="仿宋_GB2312" w:eastAsia="仿宋_GB2312" w:cs="仿宋_GB2312"/>
                <w:b/>
                <w:bCs/>
                <w:kern w:val="2"/>
                <w:sz w:val="32"/>
                <w:szCs w:val="32"/>
                <w:lang w:val="en-US" w:eastAsia="zh-CN" w:bidi="ar-SA"/>
              </w:rPr>
              <w:t>尤溪县纺织产业就业服务园区建设项目。</w:t>
            </w:r>
            <w:r>
              <w:rPr>
                <w:rFonts w:hint="eastAsia" w:ascii="仿宋_GB2312" w:hAnsi="仿宋_GB2312" w:eastAsia="仿宋_GB2312" w:cs="仿宋_GB2312"/>
                <w:kern w:val="2"/>
                <w:sz w:val="32"/>
                <w:szCs w:val="32"/>
                <w:lang w:val="en-US" w:eastAsia="zh-CN" w:bidi="ar-SA"/>
              </w:rPr>
              <w:t>一是纺织技能实训基地，含纺织工匠孵化中心、产业实训车间及企业定制化实训车间；二是园区就业服务枢纽，包括尤溪县就业赋能服务中心（设置政务服务窗口区、人力资源服务市场、职业指导室等功能区）及灵活用工服务站；三是配套服务设施，同步建设职业技能竞赛场地、政策咨询驿站、员工休息区等。</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32" w:name="_Toc24310"/>
      <w:bookmarkStart w:id="233" w:name="_Toc9758"/>
      <w:bookmarkStart w:id="234" w:name="_Toc18078"/>
      <w:bookmarkStart w:id="235" w:name="_Toc31130"/>
      <w:bookmarkStart w:id="236" w:name="_Toc13222"/>
      <w:bookmarkStart w:id="237" w:name="_Toc10615"/>
      <w:r>
        <w:rPr>
          <w:rFonts w:hint="default" w:ascii="黑体" w:hAnsi="黑体" w:eastAsia="黑体" w:cs="黑体"/>
          <w:b w:val="0"/>
          <w:bCs/>
          <w:snapToGrid w:val="0"/>
          <w:color w:val="auto"/>
          <w:szCs w:val="32"/>
          <w:highlight w:val="none"/>
        </w:rPr>
        <w:t xml:space="preserve">第二节 </w:t>
      </w:r>
      <w:bookmarkEnd w:id="232"/>
      <w:bookmarkEnd w:id="233"/>
      <w:bookmarkEnd w:id="234"/>
      <w:bookmarkEnd w:id="235"/>
      <w:bookmarkEnd w:id="236"/>
      <w:r>
        <w:rPr>
          <w:rFonts w:hint="default" w:ascii="黑体" w:hAnsi="黑体" w:eastAsia="黑体" w:cs="黑体"/>
          <w:b w:val="0"/>
          <w:bCs/>
          <w:snapToGrid w:val="0"/>
          <w:color w:val="auto"/>
          <w:szCs w:val="32"/>
          <w:highlight w:val="none"/>
        </w:rPr>
        <w:t>办好人民满意教育</w:t>
      </w:r>
      <w:bookmarkEnd w:id="237"/>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仿宋_GB2312" w:hAnsi="仿宋_GB2312" w:eastAsia="仿宋_GB2312" w:cs="仿宋_GB2312"/>
          <w:kern w:val="2"/>
          <w:sz w:val="32"/>
          <w:szCs w:val="32"/>
          <w:lang w:val="zh-TW" w:eastAsia="zh-TW" w:bidi="ar-SA"/>
        </w:rPr>
        <w:t>切实把教育工作摆在优先位置，加快重点补短板教育项目建设，基本形成学前教育普及普惠、义务教育优质均衡、高中教育提质扩容、职业教育特色鲜明、特殊教育适宜融合、民办教育规范有序的格局，强化教师队伍建设，全力办好人民满意教育。</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促进教育质量优化提升。</w:t>
      </w:r>
      <w:r>
        <w:rPr>
          <w:rFonts w:hint="default" w:ascii="仿宋_GB2312" w:hAnsi="仿宋_GB2312" w:eastAsia="仿宋_GB2312" w:cs="仿宋_GB2312"/>
          <w:kern w:val="2"/>
          <w:sz w:val="32"/>
          <w:szCs w:val="32"/>
          <w:lang w:val="zh-TW" w:eastAsia="zh-TW" w:bidi="ar-SA"/>
        </w:rPr>
        <w:t>积极落实国家教育数字化战略，深入实施“国家县中振兴行动计划”，加快推进教育教学的数字化、智慧化转型，推动国家中小学智慧教育平台优质数字教育资源应用，大力推进智慧校园建设，持续优化和丰富数字化转型教与学基础设施环境。重点实施“二级总校制”“九年一贯制”等办学模式改革，持续开展城区优质学校与乡镇薄弱校结对帮扶活动，深入推进城乡教研共同体建设，实现“目标共建、管理互帮、资源共享”。大力发展素质教育，坚持德智体美劳“五育并举”，探索“1+N”思政一体化融合实践路径，推进朱子文化、“三香”校园、家长教育、人工智能、益智课堂等特色教育。持续开展“景润同心爱数学”三年提升项目，力争全县义务教育阶段学校100%完成县级以上书墨香校园建设。大力弘扬教育家精神，实施义务教育教师专业素质和学历提升计划，实施名师培养工程，培养造就高水平教师队伍，持续加强校长队伍的建设，构建“专家治校、专业治校”的良好局面，努力提升全县办学水平。深度对接沪明对口合作与新时代山海协作，选派本县教育管理团队和骨干教师前往两地跟岗学习，提升办学理念和教学经验。</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持续优化基础教育布局。</w:t>
      </w:r>
      <w:r>
        <w:rPr>
          <w:rFonts w:hint="default" w:ascii="仿宋_GB2312" w:hAnsi="仿宋_GB2312" w:eastAsia="仿宋_GB2312" w:cs="仿宋_GB2312"/>
          <w:kern w:val="2"/>
          <w:sz w:val="32"/>
          <w:szCs w:val="32"/>
          <w:lang w:val="zh-TW" w:eastAsia="zh-TW" w:bidi="ar-SA"/>
        </w:rPr>
        <w:t>根据城镇化进程和人口变化趋势，动态调整教育资源布局。创建县域学前教育普及普惠县，扩大优质公办幼儿园资源，新建居住区配套幼儿园和乡镇中心幼儿园全部办</w:t>
      </w:r>
      <w:r>
        <w:rPr>
          <w:rFonts w:hint="default" w:ascii="仿宋_GB2312" w:hAnsi="仿宋_GB2312" w:eastAsia="仿宋_GB2312" w:cs="仿宋_GB2312"/>
          <w:kern w:val="2"/>
          <w:sz w:val="32"/>
          <w:szCs w:val="32"/>
          <w:lang w:val="en-US" w:eastAsia="zh-CN" w:bidi="ar-SA"/>
        </w:rPr>
        <w:t>成</w:t>
      </w:r>
      <w:r>
        <w:rPr>
          <w:rFonts w:hint="default" w:ascii="仿宋_GB2312" w:hAnsi="仿宋_GB2312" w:eastAsia="仿宋_GB2312" w:cs="仿宋_GB2312"/>
          <w:kern w:val="2"/>
          <w:sz w:val="32"/>
          <w:szCs w:val="32"/>
          <w:lang w:val="zh-TW" w:eastAsia="zh-TW" w:bidi="ar-SA"/>
        </w:rPr>
        <w:t>公办园。坚持城乡一体，推动义务教育优质均衡发展。推进教育供给改革，建立与区域人口规模相适应的学校布局，完成尤溪职业中专迁建、尤溪一中示范高中提升工程等项目，扩大城区优质教育资源供给，同步优化乡镇小规模学校资源配置，到2030年，全县城区学生占比</w:t>
      </w:r>
      <w:r>
        <w:rPr>
          <w:rFonts w:hint="default" w:ascii="仿宋_GB2312" w:hAnsi="仿宋_GB2312" w:eastAsia="仿宋_GB2312" w:cs="仿宋_GB2312"/>
          <w:kern w:val="2"/>
          <w:sz w:val="32"/>
          <w:szCs w:val="32"/>
          <w:lang w:val="en-US" w:eastAsia="zh-CN" w:bidi="ar-SA"/>
        </w:rPr>
        <w:t>超过</w:t>
      </w:r>
      <w:r>
        <w:rPr>
          <w:rFonts w:hint="default" w:ascii="仿宋_GB2312" w:hAnsi="仿宋_GB2312" w:eastAsia="仿宋_GB2312" w:cs="仿宋_GB2312"/>
          <w:kern w:val="2"/>
          <w:sz w:val="32"/>
          <w:szCs w:val="32"/>
          <w:lang w:val="zh-TW" w:eastAsia="zh-TW" w:bidi="ar-SA"/>
        </w:rPr>
        <w:t>75%，农村小规模学校委托管理覆盖率达100%，</w:t>
      </w:r>
      <w:r>
        <w:rPr>
          <w:rFonts w:hint="default" w:ascii="仿宋_GB2312" w:hAnsi="仿宋_GB2312" w:eastAsia="仿宋_GB2312" w:cs="仿宋_GB2312"/>
          <w:kern w:val="2"/>
          <w:sz w:val="32"/>
          <w:szCs w:val="32"/>
          <w:lang w:val="en-US" w:eastAsia="zh-CN" w:bidi="ar-SA"/>
        </w:rPr>
        <w:t>实现义务教育优质均衡和城乡一体化发展，完成国家“义务教育发展优质均衡县”创建。</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zh-CN" w:eastAsia="zh-CN" w:bidi="ar-SA"/>
        </w:rPr>
        <w:t>专栏</w:t>
      </w:r>
      <w:r>
        <w:rPr>
          <w:rFonts w:hint="default" w:ascii="楷体_GB2312" w:hAnsi="楷体_GB2312" w:eastAsia="楷体_GB2312" w:cs="楷体_GB2312"/>
          <w:b/>
          <w:bCs/>
          <w:kern w:val="2"/>
          <w:sz w:val="32"/>
          <w:szCs w:val="32"/>
          <w:lang w:val="en-US" w:eastAsia="zh-CN" w:bidi="ar-SA"/>
        </w:rPr>
        <w:t>27：</w:t>
      </w:r>
      <w:r>
        <w:rPr>
          <w:rFonts w:hint="default" w:ascii="楷体_GB2312" w:hAnsi="楷体_GB2312" w:eastAsia="楷体_GB2312" w:cs="楷体_GB2312"/>
          <w:b/>
          <w:bCs/>
          <w:kern w:val="2"/>
          <w:sz w:val="32"/>
          <w:szCs w:val="32"/>
          <w:lang w:val="zh-CN" w:eastAsia="zh-CN" w:bidi="ar-SA"/>
        </w:rPr>
        <w:t>教育领域重大工程</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尤溪职业中专学校迁建项目。</w:t>
            </w:r>
            <w:r>
              <w:rPr>
                <w:rFonts w:hint="eastAsia" w:ascii="仿宋_GB2312" w:hAnsi="仿宋_GB2312" w:eastAsia="仿宋_GB2312" w:cs="仿宋_GB2312"/>
                <w:kern w:val="2"/>
                <w:sz w:val="32"/>
                <w:szCs w:val="32"/>
                <w:lang w:val="en-US" w:eastAsia="zh-CN" w:bidi="ar-SA"/>
              </w:rPr>
              <w:t>包括教学实训用房、教学辅助及管理用房、生活用房，配套建设室外实训场地、体育活动场地等附属设施工程。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尤溪县智慧教育新型基础设施建设项目。</w:t>
            </w:r>
            <w:r>
              <w:rPr>
                <w:rFonts w:hint="eastAsia" w:ascii="仿宋_GB2312" w:hAnsi="仿宋_GB2312" w:eastAsia="仿宋_GB2312" w:cs="仿宋_GB2312"/>
                <w:kern w:val="2"/>
                <w:sz w:val="32"/>
                <w:szCs w:val="32"/>
                <w:lang w:val="en-US" w:eastAsia="zh-CN" w:bidi="ar-SA"/>
              </w:rPr>
              <w:t>智慧教育云平台升级、教育信息化基础设施升级工程、教育城域网智慧化建设项目。</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尤溪一中省级高中示范校提升工程。</w:t>
            </w:r>
            <w:r>
              <w:rPr>
                <w:rFonts w:hint="eastAsia" w:ascii="仿宋_GB2312" w:hAnsi="仿宋_GB2312" w:eastAsia="仿宋_GB2312" w:cs="仿宋_GB2312"/>
                <w:kern w:val="2"/>
                <w:sz w:val="32"/>
                <w:szCs w:val="32"/>
                <w:lang w:val="en-US" w:eastAsia="zh-CN" w:bidi="ar-SA"/>
              </w:rPr>
              <w:t>新建教学综合楼，改建学生宿舍楼及配套附属设施工程等。</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尤溪县学校基础设施更新提升。</w:t>
            </w:r>
            <w:r>
              <w:rPr>
                <w:rFonts w:hint="eastAsia" w:ascii="仿宋_GB2312" w:hAnsi="仿宋_GB2312" w:eastAsia="仿宋_GB2312" w:cs="仿宋_GB2312"/>
                <w:kern w:val="2"/>
                <w:sz w:val="32"/>
                <w:szCs w:val="32"/>
                <w:lang w:val="en-US" w:eastAsia="zh-CN" w:bidi="ar-SA"/>
              </w:rPr>
              <w:t>全县中小学校（幼儿园）教学楼、宿舍楼及附属设施改造。中小学扩容改造。中小学塑胶运动场改造。特殊教育学校校舍改造。劳动实践基地建设及配套附属设施建设、教学设施设备提升。</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订单式技术人才培养计划。</w:t>
            </w:r>
            <w:r>
              <w:rPr>
                <w:rFonts w:hint="eastAsia" w:ascii="仿宋_GB2312" w:hAnsi="仿宋_GB2312" w:eastAsia="仿宋_GB2312" w:cs="仿宋_GB2312"/>
                <w:kern w:val="2"/>
                <w:sz w:val="32"/>
                <w:szCs w:val="32"/>
                <w:lang w:val="en-US" w:eastAsia="zh-CN" w:bidi="ar-SA"/>
              </w:rPr>
              <w:t>根据支柱产业发展需求在省内外高校办订单班，定向培养技术型人才。</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宋体" w:cs="Times New Roman"/>
                <w:color w:val="auto"/>
                <w:kern w:val="0"/>
                <w:highlight w:val="none"/>
                <w:shd w:val="clear" w:color="auto" w:fill="FFFFFF"/>
              </w:rPr>
            </w:pPr>
            <w:r>
              <w:rPr>
                <w:rFonts w:hint="eastAsia" w:ascii="仿宋_GB2312" w:hAnsi="仿宋_GB2312" w:eastAsia="仿宋_GB2312" w:cs="仿宋_GB2312"/>
                <w:b/>
                <w:bCs/>
                <w:kern w:val="2"/>
                <w:sz w:val="32"/>
                <w:szCs w:val="32"/>
                <w:lang w:val="en-US" w:eastAsia="zh-CN" w:bidi="ar-SA"/>
              </w:rPr>
              <w:t>乡村工匠培育行动。</w:t>
            </w:r>
            <w:r>
              <w:rPr>
                <w:rFonts w:hint="eastAsia" w:ascii="仿宋_GB2312" w:hAnsi="仿宋_GB2312" w:eastAsia="仿宋_GB2312" w:cs="仿宋_GB2312"/>
                <w:kern w:val="2"/>
                <w:sz w:val="32"/>
                <w:szCs w:val="32"/>
                <w:lang w:val="en-US" w:eastAsia="zh-CN" w:bidi="ar-SA"/>
              </w:rPr>
              <w:t>实施不同产业技能人才支撑工程，开展产业链技能提升、技能培训基地提质增效、技能竞赛、沪明技能人才共育、晋尤技能人才共育等五大行动。</w:t>
            </w:r>
          </w:p>
        </w:tc>
      </w:tr>
    </w:tbl>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建设高质量多元化教育体系。</w:t>
      </w:r>
      <w:r>
        <w:rPr>
          <w:rFonts w:hint="default" w:ascii="仿宋_GB2312" w:hAnsi="仿宋_GB2312" w:eastAsia="仿宋_GB2312" w:cs="仿宋_GB2312"/>
          <w:kern w:val="2"/>
          <w:sz w:val="32"/>
          <w:szCs w:val="32"/>
          <w:lang w:val="zh-TW" w:eastAsia="zh-TW" w:bidi="ar-SA"/>
        </w:rPr>
        <w:t>推动职业教育发展</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完成尤溪职业中专学校迁建和扩容，扩大招生与办学规模。探索中职与本科、高职与本科等贯通培养模式，推进职业教育纵向贯通发展，并积极融入市级职教联盟。深化产教融合，建设产教融合园与专业化实训基地，联合开展教学资源开发与人才培养培训，动态优化专业结构，建设高水平专业群。与省内高校共建“尤溪产业人才联合培养基地”，探索订单式人才培养模式，为本地重点产业定向培养本科层次技术技能人才。支持本地龙头企业与职业院校深度合作，开展现代学徒制试点工作，为产业发展输送高素质的技术技能人才。实施“乡村工匠”培育行动，面向农村转移劳动力、返乡入乡创业者，开设竹木雕刻、纺织挡车、电商直播、民宿管家等特色培训工种。</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着力构建服务全民的教育体系。</w:t>
      </w:r>
      <w:r>
        <w:rPr>
          <w:rFonts w:hint="default" w:ascii="仿宋_GB2312" w:hAnsi="仿宋_GB2312" w:eastAsia="仿宋_GB2312" w:cs="仿宋_GB2312"/>
          <w:kern w:val="2"/>
          <w:sz w:val="32"/>
          <w:szCs w:val="32"/>
          <w:lang w:val="zh-TW" w:eastAsia="zh-TW" w:bidi="ar-SA"/>
        </w:rPr>
        <w:t>依托县域内职业与成人教育资源，推动各类学习平台开放共享，积极创办与发展家长学校、社区教育、老年教育，持续促进全民学习与终身发展。继续办好特殊教育</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依托尤溪县特殊教育学校，建立</w:t>
      </w:r>
      <w:r>
        <w:rPr>
          <w:rFonts w:hint="default" w:ascii="仿宋_GB2312" w:hAnsi="仿宋_GB2312" w:eastAsia="仿宋_GB2312" w:cs="仿宋_GB2312"/>
          <w:kern w:val="2"/>
          <w:sz w:val="32"/>
          <w:szCs w:val="32"/>
          <w:lang w:val="en-US" w:eastAsia="zh-CN" w:bidi="ar-SA"/>
        </w:rPr>
        <w:t>县域</w:t>
      </w:r>
      <w:r>
        <w:rPr>
          <w:rFonts w:hint="default" w:ascii="仿宋_GB2312" w:hAnsi="仿宋_GB2312" w:eastAsia="仿宋_GB2312" w:cs="仿宋_GB2312"/>
          <w:kern w:val="2"/>
          <w:sz w:val="32"/>
          <w:szCs w:val="32"/>
          <w:lang w:val="zh-TW" w:eastAsia="zh-TW" w:bidi="ar-SA"/>
        </w:rPr>
        <w:t>特殊教育资源中心，各乡镇建立特殊教育资源教室，形成以普通学校随班就读和特教学校就读为主体、送教上门为补充的特殊教育发展格局。积极推进民办教育</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持续扩大民办教育优质资源供给，探索创新多元办学模式与人才培养路径，推动建立与公办教育协调互补的发展格局。</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38" w:name="_Toc20516"/>
      <w:bookmarkStart w:id="239" w:name="_Toc6036"/>
      <w:bookmarkStart w:id="240" w:name="_Toc2712"/>
      <w:bookmarkStart w:id="241" w:name="_Toc10351"/>
      <w:bookmarkStart w:id="242" w:name="_Toc18853"/>
      <w:bookmarkStart w:id="243" w:name="_Toc10515"/>
      <w:r>
        <w:rPr>
          <w:rFonts w:hint="default" w:ascii="黑体" w:hAnsi="黑体" w:eastAsia="黑体" w:cs="黑体"/>
          <w:b w:val="0"/>
          <w:bCs/>
          <w:snapToGrid w:val="0"/>
          <w:color w:val="auto"/>
          <w:szCs w:val="32"/>
          <w:highlight w:val="none"/>
        </w:rPr>
        <w:t>第三节 全面推进健康尤溪建设</w:t>
      </w:r>
      <w:bookmarkEnd w:id="238"/>
      <w:bookmarkEnd w:id="239"/>
      <w:bookmarkEnd w:id="240"/>
      <w:bookmarkEnd w:id="241"/>
      <w:bookmarkEnd w:id="242"/>
      <w:bookmarkEnd w:id="243"/>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把保障人民健康放在优先发展的战略地位，以满足人民群众对美好健康生活的需求为根本出发点，从关注疾病治疗转向全人群、全生命周期的健康服务，提升医疗资源和医疗能力水平，做好人民满意的健康服务。</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强化全民健康管理。</w:t>
      </w:r>
      <w:r>
        <w:rPr>
          <w:rFonts w:hint="default" w:ascii="仿宋_GB2312" w:hAnsi="仿宋_GB2312" w:eastAsia="仿宋_GB2312" w:cs="仿宋_GB2312"/>
          <w:kern w:val="2"/>
          <w:sz w:val="32"/>
          <w:szCs w:val="32"/>
          <w:lang w:val="zh-TW" w:eastAsia="zh-TW" w:bidi="ar-SA"/>
        </w:rPr>
        <w:t>优化全民健康管理中心，提供更加便利化健康服务，大力推进紧密型医（健）共体建设，推动全民健康管理工程建设。积极推进“院前管预防、院中管治疗、院后管康复”的全过程健康管理。积极推进肿瘤、代谢等“六病共管”体系建设，探索县域肿瘤病人“135”健康管理路径，形成“防、筛、诊、治、管、康”全生命周期的健康医疗服务新模式，持续完善慢病管理“尤溪样板”。完善城区体育设施，充分利用空闲地、公园绿地等各类存量资源，新建或改造全民健身中心、体育公园和社区健身场所，增加公共锻炼空间，将“全民健康”阵地前置到群众“家门口”。建成覆盖城乡的“8—10—15分钟”健身圈且公共体育设施免费或低收费开放率保持100%。推动爱国卫生运动走深走实，狠抓背街小巷、农贸市场、城中村及城乡</w:t>
      </w:r>
      <w:r>
        <w:rPr>
          <w:rFonts w:hint="eastAsia" w:ascii="仿宋_GB2312" w:hAnsi="仿宋_GB2312" w:eastAsia="仿宋_GB2312" w:cs="仿宋_GB2312"/>
          <w:kern w:val="2"/>
          <w:sz w:val="32"/>
          <w:szCs w:val="32"/>
          <w:lang w:val="en-US" w:eastAsia="zh-CN" w:bidi="ar-SA"/>
        </w:rPr>
        <w:t>接</w:t>
      </w:r>
      <w:r>
        <w:rPr>
          <w:rFonts w:hint="default" w:ascii="仿宋_GB2312" w:hAnsi="仿宋_GB2312" w:eastAsia="仿宋_GB2312" w:cs="仿宋_GB2312"/>
          <w:kern w:val="2"/>
          <w:sz w:val="32"/>
          <w:szCs w:val="32"/>
          <w:lang w:val="zh-TW" w:eastAsia="zh-TW" w:bidi="ar-SA"/>
        </w:rPr>
        <w:t>合部等重难点部位整治工作。</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专栏28：健康尤溪建设工程项目</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推进建立“1+4+N”尤溪县健康共同体。</w:t>
            </w:r>
            <w:r>
              <w:rPr>
                <w:rFonts w:hint="eastAsia" w:ascii="仿宋_GB2312" w:hAnsi="仿宋_GB2312" w:eastAsia="仿宋_GB2312" w:cs="仿宋_GB2312"/>
                <w:kern w:val="2"/>
                <w:sz w:val="32"/>
                <w:szCs w:val="32"/>
                <w:lang w:val="en-US" w:eastAsia="zh-CN" w:bidi="ar-SA"/>
              </w:rPr>
              <w:t>“1”指健康工委这一核心协调统筹机构，“4”分别是县域医疗共同体、医防协同联合体、健康教育联合体、医养结合联合体，“N”则代表根据县域健康发展多元需求。</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尤溪县域医疗卫生综合服务能力提升。</w:t>
            </w:r>
            <w:r>
              <w:rPr>
                <w:rFonts w:hint="eastAsia" w:ascii="仿宋_GB2312" w:hAnsi="仿宋_GB2312" w:eastAsia="仿宋_GB2312" w:cs="仿宋_GB2312"/>
                <w:kern w:val="2"/>
                <w:sz w:val="32"/>
                <w:szCs w:val="32"/>
                <w:lang w:val="en-US" w:eastAsia="zh-CN" w:bidi="ar-SA"/>
              </w:rPr>
              <w:t>健（医）共体综合服务能力提升项目、总医院急诊医技能力提升项目、县域医共体资源共享中心项目、总医院梅仙分院整体迁建项目、中医医院医共体能力提升项目、精神卫生中心建设项目。</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方正仿宋_GB2312" w:hAnsi="方正仿宋_GB2312" w:eastAsia="方正仿宋_GB2312" w:cs="方正仿宋_GB2312"/>
                <w:snapToGrid w:val="0"/>
                <w:color w:val="auto"/>
                <w:kern w:val="2"/>
                <w:sz w:val="32"/>
                <w:szCs w:val="32"/>
                <w:highlight w:val="none"/>
                <w:lang w:val="en-US" w:eastAsia="zh-CN" w:bidi="ar-SA"/>
              </w:rPr>
            </w:pPr>
            <w:r>
              <w:rPr>
                <w:rFonts w:hint="eastAsia" w:ascii="仿宋_GB2312" w:hAnsi="仿宋_GB2312" w:eastAsia="仿宋_GB2312" w:cs="仿宋_GB2312"/>
                <w:b/>
                <w:bCs/>
                <w:kern w:val="2"/>
                <w:sz w:val="32"/>
                <w:szCs w:val="32"/>
                <w:lang w:val="en-US" w:eastAsia="zh-CN" w:bidi="ar-SA"/>
              </w:rPr>
              <w:t>尤溪县疾病预防控制中心服务保障能力提升。</w:t>
            </w:r>
            <w:r>
              <w:rPr>
                <w:rFonts w:hint="eastAsia" w:ascii="仿宋_GB2312" w:hAnsi="仿宋_GB2312" w:eastAsia="仿宋_GB2312" w:cs="仿宋_GB2312"/>
                <w:kern w:val="2"/>
                <w:sz w:val="32"/>
                <w:szCs w:val="32"/>
                <w:lang w:val="en-US" w:eastAsia="zh-CN" w:bidi="ar-SA"/>
              </w:rPr>
              <w:t>对县疾病预防控制中心综合实验楼进行改扩建及建设部分附属设施配套工程。</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kern w:val="0"/>
                <w:sz w:val="28"/>
                <w:szCs w:val="28"/>
                <w:highlight w:val="none"/>
              </w:rPr>
            </w:pPr>
            <w:r>
              <w:rPr>
                <w:rFonts w:hint="eastAsia" w:ascii="仿宋_GB2312" w:hAnsi="仿宋_GB2312" w:eastAsia="仿宋_GB2312" w:cs="仿宋_GB2312"/>
                <w:b/>
                <w:bCs/>
                <w:kern w:val="2"/>
                <w:sz w:val="32"/>
                <w:szCs w:val="32"/>
                <w:lang w:val="en-US" w:eastAsia="zh-CN" w:bidi="ar-SA"/>
              </w:rPr>
              <w:t>尤溪县普惠性健康服务。</w:t>
            </w:r>
            <w:r>
              <w:rPr>
                <w:rFonts w:hint="eastAsia" w:ascii="仿宋_GB2312" w:hAnsi="仿宋_GB2312" w:eastAsia="仿宋_GB2312" w:cs="仿宋_GB2312"/>
                <w:kern w:val="2"/>
                <w:sz w:val="32"/>
                <w:szCs w:val="32"/>
                <w:lang w:val="en-US" w:eastAsia="zh-CN" w:bidi="ar-SA"/>
              </w:rPr>
              <w:t>托育服务体系建设项目、县妇幼保健院儿童早期发展服务基地建设项目。</w:t>
            </w:r>
          </w:p>
        </w:tc>
      </w:tr>
    </w:tbl>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提升优质医疗资源供给。</w:t>
      </w:r>
      <w:r>
        <w:rPr>
          <w:rFonts w:hint="eastAsia" w:ascii="仿宋_GB2312" w:hAnsi="仿宋_GB2312" w:eastAsia="仿宋_GB2312" w:cs="仿宋_GB2312"/>
          <w:kern w:val="2"/>
          <w:sz w:val="32"/>
          <w:szCs w:val="32"/>
          <w:lang w:val="zh-TW" w:eastAsia="zh-TW" w:bidi="ar-SA"/>
        </w:rPr>
        <w:t>深化尤溪县总医院与福建省立医院共建省级区域医疗中心合作，进一步拓展双方在医院管理、学科建设、科研教学、人才培养、信息化建设等方面的合作空间。优化医疗资源布局，强化分级诊疗制度，推动优质医疗资源下沉基层，构建覆盖城乡、上下联动、防治康管全链条的整合型服务体系，提高服务的均衡性、连续性和可及性。</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大力推广中医药服务。</w:t>
      </w:r>
      <w:r>
        <w:rPr>
          <w:rFonts w:hint="default" w:ascii="仿宋_GB2312" w:hAnsi="仿宋_GB2312" w:eastAsia="仿宋_GB2312" w:cs="仿宋_GB2312"/>
          <w:kern w:val="2"/>
          <w:sz w:val="32"/>
          <w:szCs w:val="32"/>
          <w:lang w:val="zh-TW" w:eastAsia="zh-TW" w:bidi="ar-SA"/>
        </w:rPr>
        <w:t>建设覆盖县、乡、村三级中医药服务体系，做大做强县中医医院，升级乡镇卫生院中医馆，建设村级中医阁。定期举办县域医共体中医药适宜技术培训班、中医案例分享会等活动，积极推进中医药适宜技术“三进”工作，积极宣传中医药文化，让群众充分感受中医适宜技术“简便验廉”的特色和优势，深入开展义诊、健康科普、适宜技术体验等活动。探索实行“卫生院+养老机构”模式，推动中医保健、康复服务与养老服务结合。</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做好特殊群体的健康服务。</w:t>
      </w:r>
      <w:r>
        <w:rPr>
          <w:rFonts w:hint="default" w:ascii="仿宋_GB2312" w:hAnsi="仿宋_GB2312" w:eastAsia="仿宋_GB2312" w:cs="仿宋_GB2312"/>
          <w:kern w:val="2"/>
          <w:sz w:val="32"/>
          <w:szCs w:val="32"/>
          <w:lang w:val="zh-TW" w:eastAsia="zh-TW" w:bidi="ar-SA"/>
        </w:rPr>
        <w:t>实施“母婴安全行动提升计划”和“健康儿童行动提升计划”，实现产前筛查和新生儿筛查全覆盖，加快生育友好医院、儿童友好医院建设工作，落实妇女儿童健康服务友好措施，优化就医流程，改善就医体验。优化女性全生命周期健康服务，为适龄女生接种HPV疫苗，开展免费宫颈癌筛查、乳腺癌筛查。加快完善老年健康服务体系。加强对精神障碍患者的关爱，提升精神疾病诊疗质量和服务水平。</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44" w:name="_Toc17828"/>
      <w:bookmarkStart w:id="245" w:name="_Toc11806"/>
      <w:bookmarkStart w:id="246" w:name="_Toc9386"/>
      <w:bookmarkStart w:id="247" w:name="_Toc24599"/>
      <w:bookmarkStart w:id="248" w:name="_Toc15205"/>
      <w:bookmarkStart w:id="249" w:name="_Toc4357"/>
      <w:r>
        <w:rPr>
          <w:rFonts w:hint="default" w:ascii="黑体" w:hAnsi="黑体" w:eastAsia="黑体" w:cs="黑体"/>
          <w:b w:val="0"/>
          <w:bCs/>
          <w:snapToGrid w:val="0"/>
          <w:color w:val="auto"/>
          <w:szCs w:val="32"/>
          <w:highlight w:val="none"/>
        </w:rPr>
        <w:t>第四节 强化社会保障兜底功能</w:t>
      </w:r>
      <w:bookmarkEnd w:id="244"/>
      <w:bookmarkEnd w:id="245"/>
      <w:bookmarkEnd w:id="246"/>
      <w:bookmarkEnd w:id="247"/>
      <w:bookmarkEnd w:id="248"/>
      <w:bookmarkEnd w:id="24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仿宋_GB2312" w:hAnsi="仿宋_GB2312" w:eastAsia="仿宋_GB2312" w:cs="仿宋_GB2312"/>
          <w:kern w:val="2"/>
          <w:sz w:val="32"/>
          <w:szCs w:val="32"/>
          <w:lang w:val="zh-TW" w:eastAsia="zh-TW" w:bidi="ar-SA"/>
        </w:rPr>
        <w:t>落实兜底保障政策，完善社会救助体系，为困难群众提供更高效、更精准的救助服务，强化低保对象动态管理，实现“应保尽保、应退尽退”目标要求，全面深化“救急难”机制，进一步织密民生保障网，切实增强困难群众的获得感与幸福感。</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有效扩大社会保障覆盖面。</w:t>
      </w:r>
      <w:r>
        <w:rPr>
          <w:rFonts w:hint="default" w:ascii="仿宋_GB2312" w:hAnsi="仿宋_GB2312" w:eastAsia="仿宋_GB2312" w:cs="仿宋_GB2312"/>
          <w:kern w:val="2"/>
          <w:sz w:val="32"/>
          <w:szCs w:val="32"/>
          <w:lang w:val="zh-TW" w:eastAsia="zh-TW" w:bidi="ar-SA"/>
        </w:rPr>
        <w:t>统筹建立常态化防止返贫致贫机制，完善兜底式保障，安排专项资金帮扶救助困难群体，坚决守牢民生底线。健全灵活就业人员、新就业形态人员社会保险制度，对符合条件的高校毕业生、就业困难人员给予社会保险补贴。深入推进社保扩面参保，加强灵活就业参保宣传，引导城乡参保居民多缴费、长缴费，做到应保尽保。运用大数据比对与实地摸排相结合方式，加强动态监测预警，及时将符合条件的群众纳入社会救助范围。支持养老、托育、家政、助残、助餐等普惠社会服务进社区，提供社会一站式便民服务。</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统筹抓好社会救助、公益慈善等工作。</w:t>
      </w:r>
      <w:r>
        <w:rPr>
          <w:rFonts w:hint="default" w:ascii="仿宋_GB2312" w:hAnsi="仿宋_GB2312" w:eastAsia="仿宋_GB2312" w:cs="仿宋_GB2312"/>
          <w:kern w:val="2"/>
          <w:sz w:val="32"/>
          <w:szCs w:val="32"/>
          <w:lang w:val="zh-TW" w:eastAsia="zh-TW" w:bidi="ar-SA"/>
        </w:rPr>
        <w:t>建立健全分层分类的社会救助体系，落实低保、特困供养、临时救助制度，进一步做好低保等社会救助兜底保障工作。创新“慈善+救助”“物质+服务”模式，健全政府救助与慈善帮扶救助衔接机制。推进“儿童福利+慈善”工作模式，持续打造“朱子社仓予爱童行”慈善公益品牌项目。加强政府救助与社会力量参与有效衔接和协同，推动社会救助从“单一主体”向“多元共担”格局转变。</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提升殡葬公共服务能力。</w:t>
      </w:r>
      <w:r>
        <w:rPr>
          <w:rFonts w:hint="default" w:ascii="仿宋_GB2312" w:hAnsi="仿宋_GB2312" w:eastAsia="仿宋_GB2312" w:cs="仿宋_GB2312"/>
          <w:kern w:val="2"/>
          <w:sz w:val="32"/>
          <w:szCs w:val="32"/>
          <w:lang w:val="zh-TW" w:eastAsia="zh-TW" w:bidi="ar-SA"/>
        </w:rPr>
        <w:t>全面落实殡葬基本服务费减免政策，不断减轻群众的丧葬负担。积极推动公民身后事“一件事一次办”事项改革，缩短办事周期，提高办事效率。按照城乡统筹、规模适度、节地生态、方便群众的原则，科学规划布局殡葬服务设施，</w:t>
      </w:r>
      <w:r>
        <w:rPr>
          <w:rFonts w:hint="default" w:ascii="仿宋_GB2312" w:hAnsi="仿宋_GB2312" w:eastAsia="仿宋_GB2312" w:cs="仿宋_GB2312"/>
          <w:kern w:val="2"/>
          <w:sz w:val="32"/>
          <w:szCs w:val="32"/>
          <w:lang w:val="en-US" w:eastAsia="zh-CN" w:bidi="ar-SA"/>
        </w:rPr>
        <w:t>加快推进尤溪县殡葬服务能力提升项目</w:t>
      </w:r>
      <w:r>
        <w:rPr>
          <w:rFonts w:hint="default" w:ascii="仿宋_GB2312" w:hAnsi="仿宋_GB2312" w:eastAsia="仿宋_GB2312" w:cs="仿宋_GB2312"/>
          <w:kern w:val="2"/>
          <w:sz w:val="32"/>
          <w:szCs w:val="32"/>
          <w:lang w:val="zh-TW" w:eastAsia="zh-TW" w:bidi="ar-SA"/>
        </w:rPr>
        <w:t>，统筹建设公益性公墓、公益性骨灰安放设施。推行树葬、花葬和“生命公园”等绿色节地生态安葬模式，落实节地生态奖补政策。全面深化殡葬移风易俗，推行文明节俭治丧、绿色生态安葬、文明低碳祭扫，培育积极向上、文明健康的殡葬文化。</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专栏29：殡葬服务保障项目</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tcPr>
          <w:p>
            <w:pPr>
              <w:keepNext w:val="0"/>
              <w:keepLines w:val="0"/>
              <w:pageBreakBefore w:val="0"/>
              <w:widowControl w:val="0"/>
              <w:kinsoku/>
              <w:wordWrap/>
              <w:overflowPunct/>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kern w:val="0"/>
                <w:sz w:val="28"/>
                <w:szCs w:val="28"/>
                <w:highlight w:val="none"/>
              </w:rPr>
            </w:pPr>
            <w:bookmarkStart w:id="250" w:name="_Toc11926"/>
            <w:bookmarkStart w:id="251" w:name="_Toc3989"/>
            <w:bookmarkStart w:id="252" w:name="_Toc1390"/>
            <w:bookmarkStart w:id="253" w:name="_Toc29131"/>
            <w:r>
              <w:rPr>
                <w:rFonts w:hint="default" w:ascii="仿宋_GB2312" w:hAnsi="仿宋_GB2312" w:eastAsia="仿宋_GB2312" w:cs="仿宋_GB2312"/>
                <w:b/>
                <w:bCs/>
                <w:kern w:val="2"/>
                <w:sz w:val="32"/>
                <w:szCs w:val="32"/>
                <w:lang w:val="en-US" w:eastAsia="zh-CN" w:bidi="ar-SA"/>
              </w:rPr>
              <w:t>尤溪县殡葬服务能力提升改造项目。</w:t>
            </w:r>
            <w:r>
              <w:rPr>
                <w:rFonts w:hint="default" w:ascii="仿宋_GB2312" w:hAnsi="仿宋_GB2312" w:eastAsia="仿宋_GB2312" w:cs="仿宋_GB2312"/>
                <w:kern w:val="2"/>
                <w:sz w:val="32"/>
                <w:szCs w:val="32"/>
                <w:lang w:val="en-US" w:eastAsia="zh-CN" w:bidi="ar-SA"/>
              </w:rPr>
              <w:t>扩建县文笔山陵园公益性公墓，提升改造县殡葬综合服务中心，配套建设殡葬专用道路、给排水、电力、消防等附属设施，满足区域内殡葬服务基本需求。</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54" w:name="_Toc16192"/>
      <w:bookmarkStart w:id="255" w:name="_Toc14429"/>
      <w:r>
        <w:rPr>
          <w:rFonts w:hint="default" w:ascii="黑体" w:hAnsi="黑体" w:eastAsia="黑体" w:cs="黑体"/>
          <w:b w:val="0"/>
          <w:bCs/>
          <w:snapToGrid w:val="0"/>
          <w:color w:val="auto"/>
          <w:szCs w:val="32"/>
          <w:highlight w:val="none"/>
        </w:rPr>
        <w:t xml:space="preserve">第五节 </w:t>
      </w:r>
      <w:bookmarkEnd w:id="250"/>
      <w:bookmarkEnd w:id="251"/>
      <w:bookmarkEnd w:id="252"/>
      <w:bookmarkEnd w:id="253"/>
      <w:bookmarkEnd w:id="254"/>
      <w:r>
        <w:rPr>
          <w:rFonts w:hint="default" w:ascii="黑体" w:hAnsi="黑体" w:eastAsia="黑体" w:cs="黑体"/>
          <w:b w:val="0"/>
          <w:bCs/>
          <w:snapToGrid w:val="0"/>
          <w:color w:val="auto"/>
          <w:szCs w:val="32"/>
          <w:highlight w:val="none"/>
        </w:rPr>
        <w:t>促进人口高质量发展</w:t>
      </w:r>
      <w:bookmarkEnd w:id="255"/>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健全覆盖全人群、全生命周期的人口服务体系，建设生育友好型社会，围绕服务体系创新、业态模式创新、要素支持创新、适老环境创新、体制机制创新等领域，推动我县养老事业和养老产业高质量协同发展。</w:t>
      </w:r>
    </w:p>
    <w:p>
      <w:pPr>
        <w:keepNext w:val="0"/>
        <w:keepLines w:val="0"/>
        <w:pageBreakBefore w:val="0"/>
        <w:kinsoku/>
        <w:wordWrap/>
        <w:overflowPunct/>
        <w:topLinePunct w:val="0"/>
        <w:bidi w:val="0"/>
        <w:snapToGrid w:val="0"/>
        <w:spacing w:line="560" w:lineRule="exact"/>
        <w:ind w:firstLine="643"/>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推进生育友好型社会建设。</w:t>
      </w:r>
      <w:r>
        <w:rPr>
          <w:rFonts w:hint="default" w:ascii="仿宋_GB2312" w:hAnsi="仿宋_GB2312" w:eastAsia="仿宋_GB2312" w:cs="仿宋_GB2312"/>
          <w:kern w:val="2"/>
          <w:sz w:val="32"/>
          <w:szCs w:val="32"/>
          <w:lang w:val="zh-TW" w:eastAsia="zh-TW" w:bidi="ar-SA"/>
        </w:rPr>
        <w:t>倡导积极婚育观，开展婚育文化“进村居、进社区、进家庭、进学校、进企业、进机关”活动，加强对年轻人婚恋观、生育观、家庭观的引导，努力形成良好的生育支持环境和社会氛围。优化生育支持政策和激励措施，实施育儿补贴和个人所得税抵扣政策，有效降低家庭生育养育教育成本。完善生育保险制度，落实生育休假制度。实施早孕关爱行动、孕育和出生缺陷防治能力提升计划。实施尤溪县托育服务体系建设项目，在社区、公共活动中心布局托育机构，积极发展社区嵌入式托育和家庭托育点，多渠道增加普惠性公办托位供给，支持有条件的幼儿园延伸发展托育服务。建设一所公建民营的残疾人儿童康复机构和残疾人日间照料机构。</w:t>
      </w:r>
    </w:p>
    <w:p>
      <w:pPr>
        <w:keepNext w:val="0"/>
        <w:keepLines w:val="0"/>
        <w:pageBreakBefore w:val="0"/>
        <w:widowControl/>
        <w:kinsoku/>
        <w:wordWrap/>
        <w:overflowPunct/>
        <w:topLinePunct w:val="0"/>
        <w:autoSpaceDE w:val="0"/>
        <w:autoSpaceDN w:val="0"/>
        <w:bidi w:val="0"/>
        <w:adjustRightInd w:val="0"/>
        <w:snapToGrid w:val="0"/>
        <w:spacing w:line="560" w:lineRule="exact"/>
        <w:ind w:firstLine="643"/>
        <w:textAlignment w:val="baseline"/>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健全养老服务体系。</w:t>
      </w:r>
      <w:r>
        <w:rPr>
          <w:rFonts w:hint="default" w:ascii="仿宋_GB2312" w:hAnsi="仿宋_GB2312" w:eastAsia="仿宋_GB2312" w:cs="仿宋_GB2312"/>
          <w:kern w:val="2"/>
          <w:sz w:val="32"/>
          <w:szCs w:val="32"/>
          <w:lang w:val="zh-TW" w:eastAsia="zh-TW" w:bidi="ar-SA"/>
        </w:rPr>
        <w:t>优化城区养老设施布局，按照“片区统筹、就近便捷”原则，规划建设社区养老服务中心，</w:t>
      </w:r>
      <w:r>
        <w:rPr>
          <w:rFonts w:hint="default" w:ascii="仿宋_GB2312" w:hAnsi="仿宋_GB2312" w:eastAsia="仿宋_GB2312" w:cs="仿宋_GB2312"/>
          <w:kern w:val="2"/>
          <w:sz w:val="32"/>
          <w:szCs w:val="32"/>
          <w:lang w:val="en-US" w:eastAsia="zh-CN" w:bidi="ar-SA"/>
        </w:rPr>
        <w:t>加快推进综合养老服务能力提升项目建设</w:t>
      </w:r>
      <w:r>
        <w:rPr>
          <w:rFonts w:hint="default" w:ascii="仿宋_GB2312" w:hAnsi="仿宋_GB2312" w:eastAsia="仿宋_GB2312" w:cs="仿宋_GB2312"/>
          <w:kern w:val="2"/>
          <w:sz w:val="32"/>
          <w:szCs w:val="32"/>
          <w:lang w:val="zh-TW" w:eastAsia="zh-TW" w:bidi="ar-SA"/>
        </w:rPr>
        <w:t>。以失能老年人照护为重点，提高养老服务机构医养结合服务能力。打造县级居家社区养老服务示范性网络，从县、乡、村三个层级推进城乡养老服务网络建设，完善“15分钟养老服务圈”。推广“党建+农村养老服务”模式、邻里互助式养老模式。引导社会力量积极参与发展农村养老，建立探访关爱、老年人意外伤害保险和应急救援服务机制，提升农村养老服务可及性。</w:t>
      </w:r>
    </w:p>
    <w:p>
      <w:pPr>
        <w:keepNext w:val="0"/>
        <w:keepLines w:val="0"/>
        <w:pageBreakBefore w:val="0"/>
        <w:kinsoku/>
        <w:wordWrap/>
        <w:overflowPunct/>
        <w:topLinePunct w:val="0"/>
        <w:bidi w:val="0"/>
        <w:spacing w:line="560" w:lineRule="exact"/>
        <w:ind w:firstLine="643"/>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大力发展银发经济。</w:t>
      </w:r>
      <w:r>
        <w:rPr>
          <w:rFonts w:hint="default" w:ascii="仿宋_GB2312" w:hAnsi="仿宋_GB2312" w:eastAsia="仿宋_GB2312" w:cs="仿宋_GB2312"/>
          <w:kern w:val="2"/>
          <w:sz w:val="32"/>
          <w:szCs w:val="32"/>
          <w:lang w:val="zh-TW" w:eastAsia="zh-TW" w:bidi="ar-SA"/>
        </w:rPr>
        <w:t>聚焦老年人急难愁盼和高频服务需求，强化长者食堂的运营监管，合理安排医养康养、适老化改造等工作，从政策支持、要素保障、优化服务等方面，完善养老产业链条。充分发挥拥有的多个国字号区域品牌优势，打造适合尤溪发展的银发经济赛道，大力发展与旅居养老相结合的文旅、森林康养基地，依托沪明对口合作、山海协作平台，吸引外地老人来尤疗休养。扩大和优化供给与老年人身体健康相关的食品、服饰、保健品，推广和普及老年友好型智能照料、康复医疗的设备产品。积极推进老年文旅、老年教育培训、老年体育锻炼、老年家政、老年医疗健康、老年资产管理等新兴领域，为老年人提供丰富多彩的高品质银发服务产品。</w:t>
      </w:r>
    </w:p>
    <w:p>
      <w:pPr>
        <w:keepNext w:val="0"/>
        <w:keepLines w:val="0"/>
        <w:pageBreakBefore w:val="0"/>
        <w:kinsoku/>
        <w:wordWrap/>
        <w:overflowPunct/>
        <w:topLinePunct w:val="0"/>
        <w:bidi w:val="0"/>
        <w:spacing w:line="560" w:lineRule="exact"/>
        <w:ind w:firstLine="643"/>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积极探索智慧养老服务。</w:t>
      </w:r>
      <w:r>
        <w:rPr>
          <w:rFonts w:hint="default" w:ascii="仿宋_GB2312" w:hAnsi="仿宋_GB2312" w:eastAsia="仿宋_GB2312" w:cs="仿宋_GB2312"/>
          <w:kern w:val="2"/>
          <w:sz w:val="32"/>
          <w:szCs w:val="32"/>
          <w:lang w:val="zh-TW" w:eastAsia="zh-TW" w:bidi="ar-SA"/>
        </w:rPr>
        <w:t>通过政府统筹规划，结合互联网等新技术手段，建设统一的养老服务标准规范，面向机构养老、社区养老、居家养老三类主体，以数据为驱动，以平台为核心，以应用为抓手，以监管为目标，形成涵盖政府、养老从业主体、老年人群等各种养老信息资源的智慧健康养老服务新业态。推广“五联五保”“幸福里”“互联网+农村养老服务”等创新做法，推动老龄工作重心下移、资源下沉，推进服务触角延伸至千家万户。依托数字化信息平台，确保每一位有需求的老年人均能享受“线上下单、线下响应”的高效精准居家养老服务。</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专栏30：人口高质量发展服务项目</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b/>
                <w:bCs/>
                <w:kern w:val="2"/>
                <w:sz w:val="32"/>
                <w:szCs w:val="32"/>
                <w:lang w:val="en-US" w:eastAsia="zh-CN" w:bidi="ar-SA"/>
              </w:rPr>
              <w:t>尤溪县托育服务体系建设项目。</w:t>
            </w:r>
            <w:r>
              <w:rPr>
                <w:rFonts w:hint="default" w:ascii="仿宋_GB2312" w:hAnsi="仿宋_GB2312" w:eastAsia="仿宋_GB2312" w:cs="仿宋_GB2312"/>
                <w:kern w:val="2"/>
                <w:sz w:val="32"/>
                <w:szCs w:val="32"/>
                <w:lang w:val="en-US" w:eastAsia="zh-CN" w:bidi="ar-SA"/>
              </w:rPr>
              <w:t>新建托育综合服务中心、改建公办幼儿园以及新建托育综合楼等多项工程，构建一个功能完善、覆盖城乡的普惠性托育服务网络。项目将配套建设从业人员培训、婴幼儿早期发展、儿童活动场地及相关设施，全面提升本地托育服务的供给能力和服务质量。</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楷体" w:cs="Times New Roman"/>
                <w:color w:val="auto"/>
                <w:kern w:val="0"/>
                <w:sz w:val="28"/>
                <w:szCs w:val="28"/>
                <w:highlight w:val="none"/>
                <w:shd w:val="clear" w:color="auto" w:fill="FFFFFF"/>
              </w:rPr>
            </w:pPr>
            <w:r>
              <w:rPr>
                <w:rFonts w:hint="default" w:ascii="仿宋_GB2312" w:hAnsi="仿宋_GB2312" w:eastAsia="仿宋_GB2312" w:cs="仿宋_GB2312"/>
                <w:b/>
                <w:bCs/>
                <w:kern w:val="2"/>
                <w:sz w:val="32"/>
                <w:szCs w:val="32"/>
                <w:lang w:val="en-US" w:eastAsia="zh-CN" w:bidi="ar-SA"/>
              </w:rPr>
              <w:t>尤溪县综合养老服务能力提升项目。</w:t>
            </w:r>
            <w:r>
              <w:rPr>
                <w:rFonts w:hint="default" w:ascii="仿宋_GB2312" w:hAnsi="仿宋_GB2312" w:eastAsia="仿宋_GB2312" w:cs="仿宋_GB2312"/>
                <w:kern w:val="2"/>
                <w:sz w:val="32"/>
                <w:szCs w:val="32"/>
                <w:lang w:val="en-US" w:eastAsia="zh-CN" w:bidi="ar-SA"/>
              </w:rPr>
              <w:t>新建老年活动用房、老年生活用房、老年康复医疗用房、护理用房和设备用房，同时完善基础设施建设和有关设施设备配套。</w:t>
            </w:r>
          </w:p>
        </w:tc>
      </w:tr>
    </w:tbl>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color w:val="auto"/>
          <w:szCs w:val="32"/>
          <w:highlight w:val="none"/>
        </w:rPr>
      </w:pPr>
      <w:bookmarkStart w:id="256" w:name="_Toc18603"/>
      <w:r>
        <w:rPr>
          <w:rFonts w:hint="eastAsia" w:ascii="方正小标宋简体" w:hAnsi="方正小标宋简体" w:eastAsia="方正小标宋简体" w:cs="方正小标宋简体"/>
          <w:color w:val="auto"/>
          <w:szCs w:val="32"/>
          <w:highlight w:val="none"/>
        </w:rPr>
        <w:t>第十三章 着力文旅融合，夯实文化繁荣根基</w:t>
      </w:r>
      <w:bookmarkEnd w:id="224"/>
      <w:bookmarkEnd w:id="256"/>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以打响“朱子文化”品牌为核心引擎，深化文旅融合为主线，推动文化、康养、研学、体育和旅游“五业联动、跨界赋能”，构建具有尤溪辨识度的“一核引领、一区示范、三组团联动”的现代文旅产业体系，持续擦亮“我家在景区”金字名片，为“文旅兴县”目标实现注入强劲动能。</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57" w:name="_Toc18554"/>
      <w:r>
        <w:rPr>
          <w:rFonts w:hint="default" w:ascii="黑体" w:hAnsi="黑体" w:eastAsia="黑体" w:cs="黑体"/>
          <w:b w:val="0"/>
          <w:bCs/>
          <w:snapToGrid w:val="0"/>
          <w:color w:val="auto"/>
          <w:szCs w:val="32"/>
          <w:highlight w:val="none"/>
        </w:rPr>
        <w:t>第一节 完善公共文化服务</w:t>
      </w:r>
      <w:bookmarkEnd w:id="257"/>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围绕举旗帜、聚民心、育新人、兴文化、展形象的使命任务，坚持以人民为中心的发展思想，以高质量文化服务供给，增强人民群众的文化获得感、幸福感和认同感，为文旅融合发展奠定坚实的群众基础和社会基础，实现文化事业与文化产业相互促进、共同繁荣。</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弘扬和践行社会主义核心价值观。</w:t>
      </w:r>
      <w:r>
        <w:rPr>
          <w:rFonts w:hint="default" w:ascii="仿宋_GB2312" w:hAnsi="仿宋_GB2312" w:eastAsia="仿宋_GB2312" w:cs="仿宋_GB2312"/>
          <w:kern w:val="2"/>
          <w:sz w:val="32"/>
          <w:szCs w:val="32"/>
          <w:lang w:val="zh-TW" w:eastAsia="zh-TW" w:bidi="ar-SA"/>
        </w:rPr>
        <w:t>以社会主义核心价值观为根本引领，深度激活朱子文化资源，系统构建具有尤溪特色的中华优秀传统文化教育实践体系。精心打造“朱子蒙学”研学体系，开发“青年理学修行”沉浸式培育项目，创新推出“朱子家风”情境化体验活动，形成全龄覆盖、全程浸润、全方位育人的文化传承新范式。用好用活红色文化资源，持续开展红色研学营、“乡村振兴与社会实践”主题调研等教育活动，强化青少年理想信念塑造。统筹城乡精神文明建设一体化发展，深入挖掘尤溪郭居敬孝道文化当代价值，推动孝廉文化与现代文明相融合，不断提升社会文明程度和人民文明素养，构筑精神共富的美好生活图景。</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大力繁荣文化事业。</w:t>
      </w:r>
      <w:r>
        <w:rPr>
          <w:rFonts w:hint="default" w:ascii="仿宋_GB2312" w:hAnsi="仿宋_GB2312" w:eastAsia="仿宋_GB2312" w:cs="仿宋_GB2312"/>
          <w:kern w:val="2"/>
          <w:sz w:val="32"/>
          <w:szCs w:val="32"/>
          <w:lang w:val="zh-TW" w:eastAsia="zh-TW" w:bidi="ar-SA"/>
        </w:rPr>
        <w:t>优化设施网络布局</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推动县文化馆、图书馆新馆规划建设，推进县博物馆、图书馆、文化馆标准化、数字化改造升级，拓展线上展览、虚拟体验、云阅读会等数字服务新场景。积极推动档案馆新馆建设，充分发挥档案馆“五位一体”功能作用。促进乡镇（街道）综合文化站、村（社区）综合文化中心提质增效，打通公共文化服务“最后一公里”。鼓励因地制宜，鼓励利用工业遗存、老旧建筑等存量资源，改造建设文化礼堂、戏台、乡村戏苑等特色文化空间，打造主题文化休闲广场。</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提升服务内容品质。</w:t>
      </w:r>
      <w:r>
        <w:rPr>
          <w:rFonts w:hint="default" w:ascii="仿宋_GB2312" w:hAnsi="仿宋_GB2312" w:eastAsia="仿宋_GB2312" w:cs="仿宋_GB2312"/>
          <w:kern w:val="2"/>
          <w:sz w:val="32"/>
          <w:szCs w:val="32"/>
          <w:lang w:val="zh-TW" w:eastAsia="zh-TW" w:bidi="ar-SA"/>
        </w:rPr>
        <w:t>实施文化惠民工程，精心推选打造“八闽书房”工程，持续开展“送戏下乡”“文化进万家”“全民阅读”等品牌活动。依托各类民间社团组织，广泛开展合唱、舞蹈、书法、摄影等群众性文化活动，激发基层文化活力。推动公共文化服务嵌入旅游景区、商业综合体、乡村驿站等公共空间。强化景区景点和公共场馆适老化改造，加强面向老年人、未成年人、残疾人等特殊群体的公共文化服务，保障其基本文化权益。</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 w:hAnsi="仿宋" w:eastAsia="仿宋" w:cs="仿宋"/>
          <w:snapToGrid w:val="0"/>
          <w:color w:val="auto"/>
          <w:szCs w:val="32"/>
          <w:highlight w:val="none"/>
        </w:rPr>
      </w:pPr>
      <w:r>
        <w:rPr>
          <w:rFonts w:hint="default" w:ascii="楷体_GB2312" w:hAnsi="楷体_GB2312" w:eastAsia="楷体_GB2312" w:cs="楷体_GB2312"/>
          <w:b/>
          <w:bCs/>
          <w:kern w:val="2"/>
          <w:sz w:val="32"/>
          <w:szCs w:val="32"/>
          <w:lang w:val="en-US" w:eastAsia="zh-CN" w:bidi="ar-SA"/>
        </w:rPr>
        <w:t>创新公共文化服务供给机制。</w:t>
      </w:r>
      <w:r>
        <w:rPr>
          <w:rFonts w:hint="default" w:ascii="仿宋_GB2312" w:hAnsi="仿宋_GB2312" w:eastAsia="仿宋_GB2312" w:cs="仿宋_GB2312"/>
          <w:kern w:val="2"/>
          <w:sz w:val="32"/>
          <w:szCs w:val="32"/>
          <w:lang w:val="zh-TW" w:eastAsia="zh-TW" w:bidi="ar-SA"/>
        </w:rPr>
        <w:t>建设智慧文化综合执法平台和公共数</w:t>
      </w:r>
      <w:r>
        <w:rPr>
          <w:rFonts w:hint="default" w:ascii="仿宋_GB2312" w:hAnsi="仿宋_GB2312" w:eastAsia="仿宋_GB2312" w:cs="仿宋_GB2312"/>
          <w:kern w:val="2"/>
          <w:sz w:val="32"/>
          <w:szCs w:val="32"/>
          <w:lang w:val="en-US" w:eastAsia="zh-CN" w:bidi="ar-SA"/>
        </w:rPr>
        <w:t>字</w:t>
      </w:r>
      <w:r>
        <w:rPr>
          <w:rFonts w:hint="default" w:ascii="仿宋_GB2312" w:hAnsi="仿宋_GB2312" w:eastAsia="仿宋_GB2312" w:cs="仿宋_GB2312"/>
          <w:kern w:val="2"/>
          <w:sz w:val="32"/>
          <w:szCs w:val="32"/>
          <w:lang w:val="zh-TW" w:eastAsia="zh-TW" w:bidi="ar-SA"/>
        </w:rPr>
        <w:t>广播系统，完善公共文化服务体系基础保障。坚持政府主导、社会协同、群众参与，鼓励社会组织、企事业单位、非遗工坊及文化企业共同参与公共文化服务供给，形成多元化、社会化供给格局。探索通过政府购买服务、项目补贴、定向资助等方式，引导社会力量参与公共文化设施的运营管理、活动组织和内容创作。推动公共文化机构与高校、文艺院团、文艺志愿者等建立合作，利用闲置资源建设“城市书房”“文化驿站”，打造集阅读、展览、休闲、文创于一体的“嵌入式”新型文化业态。</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推动文化创意产业集聚发展。</w:t>
      </w:r>
      <w:r>
        <w:rPr>
          <w:rFonts w:hint="default" w:ascii="仿宋_GB2312" w:hAnsi="仿宋_GB2312" w:eastAsia="仿宋_GB2312" w:cs="仿宋_GB2312"/>
          <w:kern w:val="2"/>
          <w:sz w:val="32"/>
          <w:szCs w:val="32"/>
          <w:lang w:val="zh-TW" w:eastAsia="zh-TW" w:bidi="ar-SA"/>
        </w:rPr>
        <w:t>围绕创意设计、影视制作、演艺娱乐、工艺美术、数字文化等方面，培育一批特色鲜明、创新能力强的文化创意企业。支持文化企业开发具有尤溪特色、朱子文化元素的文创产品，推动文创产品进景区、入商圈、上云平台，深化文创产品与竹木、茶叶等优势产业的融合联名，延伸文化产业链条。积极组织企业参加各类文化博览会，拓展市场空间，提升“朱子文化”品牌影响力，讲好尤溪故事。</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打造特色体育健身活动品牌。</w:t>
      </w:r>
      <w:r>
        <w:rPr>
          <w:rFonts w:hint="default" w:ascii="仿宋_GB2312" w:hAnsi="仿宋_GB2312" w:eastAsia="仿宋_GB2312" w:cs="仿宋_GB2312"/>
          <w:kern w:val="2"/>
          <w:sz w:val="32"/>
          <w:szCs w:val="32"/>
          <w:lang w:val="zh-TW" w:eastAsia="zh-TW" w:bidi="ar-SA"/>
        </w:rPr>
        <w:t>广泛开展全民健身活动，完善全民健身公共服务体系，继续办好县全民健身运动会、社区运动会、职工运动会等综合性赛事活动，营造全民健身浓厚氛围。加强公共媒体的引导作用，推广科学健身方法，提高群众健康水平。加快公共体育场馆、健身房等设施建设与数字化改造，推动学校体育场馆有序向社会开放，有效增加全民健身场地设施供给。培育本土特色品牌赛事</w:t>
      </w:r>
      <w:r>
        <w:rPr>
          <w:rFonts w:hint="default" w:ascii="仿宋_GB2312" w:hAnsi="仿宋_GB2312" w:eastAsia="仿宋_GB2312" w:cs="仿宋_GB2312"/>
          <w:kern w:val="2"/>
          <w:sz w:val="32"/>
          <w:szCs w:val="32"/>
          <w:lang w:val="zh-TW" w:eastAsia="zh-CN" w:bidi="ar-SA"/>
        </w:rPr>
        <w:t>，</w:t>
      </w:r>
      <w:r>
        <w:rPr>
          <w:rFonts w:hint="default" w:ascii="仿宋_GB2312" w:hAnsi="仿宋_GB2312" w:eastAsia="仿宋_GB2312" w:cs="仿宋_GB2312"/>
          <w:kern w:val="2"/>
          <w:sz w:val="32"/>
          <w:szCs w:val="32"/>
          <w:lang w:val="zh-TW" w:eastAsia="zh-TW" w:bidi="ar-SA"/>
        </w:rPr>
        <w:t>依托尤溪独特的山水资源，培育和引进一批具有地域特色的体育赛事，打造户外运动胜地。重点提升联合梯田山地越野赛、钓鱼公开赛、山地汽车越野赛等现有赛事的专业水准和影响力，将其打造成为具有一定知名度的品牌赛事，延伸开发“跟着赛事去旅行”旅游线路，激活赛事经济。积极探索开发水上运动、山地自行车、攀岩、航空运动等新兴时尚体育项目，丰富体育旅游产品供给。</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58" w:name="_Toc15894"/>
      <w:r>
        <w:rPr>
          <w:rFonts w:hint="default" w:ascii="黑体" w:hAnsi="黑体" w:eastAsia="黑体" w:cs="黑体"/>
          <w:b w:val="0"/>
          <w:bCs/>
          <w:snapToGrid w:val="0"/>
          <w:color w:val="auto"/>
          <w:szCs w:val="32"/>
          <w:highlight w:val="none"/>
        </w:rPr>
        <w:t>第二节 构建朱子文化核心品牌体系</w:t>
      </w:r>
      <w:bookmarkEnd w:id="258"/>
    </w:p>
    <w:p>
      <w:pPr>
        <w:keepNext w:val="0"/>
        <w:keepLines w:val="0"/>
        <w:pageBreakBefore w:val="0"/>
        <w:widowControl w:val="0"/>
        <w:kinsoku/>
        <w:wordWrap/>
        <w:overflowPunct/>
        <w:topLinePunct w:val="0"/>
        <w:autoSpaceDE/>
        <w:autoSpaceDN/>
        <w:bidi w:val="0"/>
        <w:adjustRightInd/>
        <w:snapToGrid w:val="0"/>
        <w:spacing w:line="560" w:lineRule="exact"/>
        <w:ind w:firstLine="643"/>
        <w:jc w:val="both"/>
        <w:textAlignment w:val="auto"/>
        <w:rPr>
          <w:rFonts w:hint="default" w:ascii="仿宋" w:hAnsi="仿宋" w:eastAsia="仿宋" w:cs="仿宋"/>
          <w:snapToGrid w:val="0"/>
          <w:color w:val="auto"/>
          <w:szCs w:val="32"/>
          <w:highlight w:val="none"/>
        </w:rPr>
      </w:pPr>
      <w:r>
        <w:rPr>
          <w:rFonts w:hint="default" w:ascii="仿宋_GB2312" w:hAnsi="仿宋_GB2312" w:eastAsia="仿宋_GB2312" w:cs="仿宋_GB2312"/>
          <w:kern w:val="2"/>
          <w:sz w:val="32"/>
          <w:szCs w:val="32"/>
          <w:lang w:val="en-US" w:eastAsia="zh-CN" w:bidi="ar-SA"/>
        </w:rPr>
        <w:t>以</w:t>
      </w:r>
      <w:r>
        <w:rPr>
          <w:rFonts w:hint="default" w:ascii="仿宋_GB2312" w:hAnsi="仿宋_GB2312" w:eastAsia="仿宋_GB2312" w:cs="仿宋_GB2312"/>
          <w:kern w:val="2"/>
          <w:sz w:val="32"/>
          <w:szCs w:val="32"/>
          <w:lang w:val="zh-TW" w:eastAsia="zh-TW" w:bidi="ar-SA"/>
        </w:rPr>
        <w:t>“朱子文化”为核心，</w:t>
      </w:r>
      <w:r>
        <w:rPr>
          <w:rFonts w:hint="default" w:ascii="仿宋_GB2312" w:hAnsi="仿宋_GB2312" w:eastAsia="仿宋_GB2312" w:cs="仿宋_GB2312"/>
          <w:kern w:val="2"/>
          <w:sz w:val="32"/>
          <w:szCs w:val="32"/>
          <w:lang w:val="en-US" w:eastAsia="zh-CN" w:bidi="ar-SA"/>
        </w:rPr>
        <w:t>努力打造</w:t>
      </w:r>
      <w:r>
        <w:rPr>
          <w:rFonts w:hint="default" w:ascii="仿宋_GB2312" w:hAnsi="仿宋_GB2312" w:eastAsia="仿宋_GB2312" w:cs="仿宋_GB2312"/>
          <w:kern w:val="2"/>
          <w:sz w:val="32"/>
          <w:szCs w:val="32"/>
          <w:lang w:val="zh-TW" w:eastAsia="zh-TW" w:bidi="ar-SA"/>
        </w:rPr>
        <w:t>朱子文化（尤溪）生态保护区，通过基础设施提升改造与完善功能业态布局，进行系统性、全域性、创新性开发与转化，使其从文化符号变为可感知、可体验、可消费的旅游产品和文化标识。</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 w:hAnsi="仿宋" w:eastAsia="仿宋" w:cs="仿宋"/>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打造朱子文化名片。</w:t>
      </w:r>
      <w:r>
        <w:rPr>
          <w:rFonts w:hint="default" w:ascii="仿宋_GB2312" w:hAnsi="仿宋_GB2312" w:eastAsia="仿宋_GB2312" w:cs="仿宋_GB2312"/>
          <w:kern w:val="2"/>
          <w:sz w:val="32"/>
          <w:szCs w:val="32"/>
          <w:lang w:val="en-US" w:eastAsia="zh-CN" w:bidi="ar-SA"/>
        </w:rPr>
        <w:t>深挖“格物致知”“明德至善”等思想内核，融入现代审美与传播逻辑，推出一批兼具思想深度、艺术感染力与市场影响力的朱子</w:t>
      </w:r>
      <w:r>
        <w:rPr>
          <w:rFonts w:hint="default" w:ascii="仿宋_GB2312" w:hAnsi="仿宋_GB2312" w:eastAsia="仿宋_GB2312" w:cs="仿宋_GB2312"/>
          <w:kern w:val="2"/>
          <w:sz w:val="32"/>
          <w:szCs w:val="32"/>
          <w:lang w:val="zh-TW" w:eastAsia="zh-TW" w:bidi="ar-SA"/>
        </w:rPr>
        <w:t>IP</w:t>
      </w:r>
      <w:r>
        <w:rPr>
          <w:rFonts w:hint="default" w:ascii="仿宋_GB2312" w:hAnsi="仿宋_GB2312" w:eastAsia="仿宋_GB2312" w:cs="仿宋_GB2312"/>
          <w:kern w:val="2"/>
          <w:sz w:val="32"/>
          <w:szCs w:val="32"/>
          <w:lang w:val="en-US" w:eastAsia="zh-CN" w:bidi="ar-SA"/>
        </w:rPr>
        <w:t>作品。围绕景区风貌、文化内核、旅游产品、旅游设施、服务品质等五方面对朱子文化园进行品质提升，力争创建成为国家</w:t>
      </w:r>
      <w:r>
        <w:rPr>
          <w:rFonts w:hint="default" w:ascii="仿宋_GB2312" w:hAnsi="仿宋_GB2312" w:eastAsia="仿宋_GB2312" w:cs="仿宋_GB2312"/>
          <w:kern w:val="2"/>
          <w:sz w:val="32"/>
          <w:szCs w:val="32"/>
          <w:lang w:val="zh-TW" w:eastAsia="zh-TW" w:bidi="ar-SA"/>
        </w:rPr>
        <w:t>5A</w:t>
      </w:r>
      <w:r>
        <w:rPr>
          <w:rFonts w:hint="default" w:ascii="仿宋_GB2312" w:hAnsi="仿宋_GB2312" w:eastAsia="仿宋_GB2312" w:cs="仿宋_GB2312"/>
          <w:kern w:val="2"/>
          <w:sz w:val="32"/>
          <w:szCs w:val="32"/>
          <w:lang w:val="en-US" w:eastAsia="zh-CN" w:bidi="ar-SA"/>
        </w:rPr>
        <w:t>级景区。将朱子文化园、朱子古街、河滨朱子景观廊道等一体化联动发展，同时推动朱子文化体验馆、博物馆提升，协同打造朱子文化体验区、朱子文化旅游区、朱子文化艺术区、朱子文化研究区，构建具有国内外影响力的朱子文化展示和旅游胜地。持续扩大朱熹诞辰祭祀大典的国内外影响力，积极推进朱子文化园国家级研学教育基地建设，加强与区域外朱子文化研学机构团队合作，策划推出朱子理学游学路线，认定或提升一批朱子文化相关省、市、县级非遗代表性项目，不断丰富省级朱子文化（尤溪）生态保护区建设的内涵和品质。</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讲好朱子文化故事。</w:t>
      </w:r>
      <w:r>
        <w:rPr>
          <w:rFonts w:hint="default" w:ascii="仿宋_GB2312" w:hAnsi="仿宋_GB2312" w:eastAsia="仿宋_GB2312" w:cs="仿宋_GB2312"/>
          <w:kern w:val="2"/>
          <w:sz w:val="32"/>
          <w:szCs w:val="32"/>
          <w:lang w:val="en-US" w:eastAsia="zh-CN" w:bidi="ar-SA"/>
        </w:rPr>
        <w:t>坚持“引育并举”，引进国内知名创作团队深耕核心</w:t>
      </w:r>
      <w:r>
        <w:rPr>
          <w:rFonts w:hint="default" w:ascii="仿宋_GB2312" w:hAnsi="仿宋_GB2312" w:eastAsia="仿宋_GB2312" w:cs="仿宋_GB2312"/>
          <w:kern w:val="2"/>
          <w:sz w:val="32"/>
          <w:szCs w:val="32"/>
          <w:lang w:val="zh-TW" w:eastAsia="zh-TW" w:bidi="ar-SA"/>
        </w:rPr>
        <w:t>IP，</w:t>
      </w:r>
      <w:r>
        <w:rPr>
          <w:rFonts w:hint="default" w:ascii="仿宋_GB2312" w:hAnsi="仿宋_GB2312" w:eastAsia="仿宋_GB2312" w:cs="仿宋_GB2312"/>
          <w:kern w:val="2"/>
          <w:sz w:val="32"/>
          <w:szCs w:val="32"/>
          <w:lang w:val="en-US" w:eastAsia="zh-CN" w:bidi="ar-SA"/>
        </w:rPr>
        <w:t>联动福建省朱子文化传媒集团等本土力量挖掘在地素材，重点打造大型实景情景剧、互动体验式话剧、国风动漫、传记影视等多元业态。升级“朱子礼乐・儒风雅韵”演艺品牌，在内容上融入非遗技艺、现代舞台科技，在形式上创新沉浸式、参与式演绎场景，推动演艺与景区游览、研学体验深度融合，实现“观礼、悟学、践行”的立体传播。同时，加速尤溪海峡两岸文化交流中心建设，将其打造为两岸朱子文化研究、成果展示、青年互动的核心平台，通过举办学术论坛、文化展演、研学互访等活动，让朱子文化成为连接海峡两岸的精神纽带。</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搭建朱子文化交流合作平台。</w:t>
      </w:r>
      <w:r>
        <w:rPr>
          <w:rFonts w:hint="default" w:ascii="仿宋_GB2312" w:hAnsi="仿宋_GB2312" w:eastAsia="仿宋_GB2312" w:cs="仿宋_GB2312"/>
          <w:kern w:val="2"/>
          <w:sz w:val="32"/>
          <w:szCs w:val="32"/>
          <w:lang w:val="en-US" w:eastAsia="zh-CN" w:bidi="ar-SA"/>
        </w:rPr>
        <w:t>建立朱子文化研究交流中心，联合国内外知名高校和研究机构，定期举办朱子文化学术研讨会、国际论坛等高层次学术交流活动，持续扩大南溪书院学术奖影响力和传播力。打造朱子文化研学基地，开发系列精品研学课程，吸引海内外学者、学生前来交流学习。建立数字化朱子文化资源库和线上交流平台，通过云展览、线上讲座等形式突破时空限制，扩大文化交流的广度和深度。积极开展对台文化交流合作，发挥朱子文化连接两岸的文化纽带作用，打造海峡两岸朱子文化交流基地，提升尤溪在中华文化对外交流中的地位和影响力。</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创新朱子文化活化利用场景。</w:t>
      </w:r>
      <w:r>
        <w:rPr>
          <w:rFonts w:hint="default" w:ascii="仿宋_GB2312" w:hAnsi="仿宋_GB2312" w:eastAsia="仿宋_GB2312" w:cs="仿宋_GB2312"/>
          <w:kern w:val="2"/>
          <w:sz w:val="32"/>
          <w:szCs w:val="32"/>
          <w:lang w:val="en-US" w:eastAsia="zh-CN" w:bidi="ar-SA"/>
        </w:rPr>
        <w:t>全面提升朱子文化IP的全域渗透和场景化应用，推动朱子文化融入城市肌理和旅游体验。采用统一的朱子文化视觉符号，将朱子文化元素融入城市景观、建筑立面等，实施朱子文化沉浸式叙事计划，在朱子文化园、南溪书院、桂峰古村等地开发系列情境体验、实景演艺和研学课程，营造浓厚的沉浸式文化氛围。支持开发朱子文化创意产品，延伸文旅产业链条，提升文化传播效能，激发文旅市场新活力。</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bookmarkStart w:id="259" w:name="_Toc9720"/>
      <w:r>
        <w:rPr>
          <w:rFonts w:hint="default" w:ascii="楷体_GB2312" w:hAnsi="楷体_GB2312" w:eastAsia="楷体_GB2312" w:cs="楷体_GB2312"/>
          <w:b/>
          <w:bCs/>
          <w:kern w:val="2"/>
          <w:sz w:val="32"/>
          <w:szCs w:val="32"/>
          <w:lang w:val="en-US" w:eastAsia="zh-CN" w:bidi="ar-SA"/>
        </w:rPr>
        <w:t>创新文旅传播营销方式。</w:t>
      </w:r>
      <w:r>
        <w:rPr>
          <w:rFonts w:hint="default" w:ascii="仿宋_GB2312" w:hAnsi="仿宋_GB2312" w:eastAsia="仿宋_GB2312" w:cs="仿宋_GB2312"/>
          <w:kern w:val="2"/>
          <w:sz w:val="32"/>
          <w:szCs w:val="32"/>
          <w:lang w:val="en-US" w:eastAsia="zh-CN" w:bidi="ar-SA"/>
        </w:rPr>
        <w:t>结合节庆活动、体育赛事、文化展览等契机，开展事件营销和体验营销。设计“月月有主题”的旅游产品体系，每月推出特色文化主题旅游线路和体验活动，通过主题化、系列化的活动策划，保持旅游市场的热度和关注度。加强线上线下联动，利用新媒体平台开展精准营销，打造网红打卡点和体验项目，吸引年轻客群。建立营销效果评估机制，及时调整优化营销策略，提升营销投入产出效益。</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60" w:name="_Toc10394"/>
      <w:r>
        <w:rPr>
          <w:rFonts w:hint="default" w:ascii="黑体" w:hAnsi="黑体" w:eastAsia="黑体" w:cs="黑体"/>
          <w:b w:val="0"/>
          <w:bCs/>
          <w:snapToGrid w:val="0"/>
          <w:color w:val="auto"/>
          <w:szCs w:val="32"/>
          <w:highlight w:val="none"/>
        </w:rPr>
        <w:t>第三节 大力培育文旅融合新业态</w:t>
      </w:r>
      <w:bookmarkEnd w:id="259"/>
      <w:bookmarkEnd w:id="260"/>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立足山、水、人、文、产、城等方面资源优势,围绕环尤溪交旅融合示范公路主轴，充分挖掘高山、温泉、水系等核心资源特色，致力打造集生态休闲、温泉康养、滨水度假于一体的文旅康养聚集区；以龙头景区辐射带动“文旅+”“+文旅”的深度融合发展，全面升级沈城客厅、宋韵古村、农耕文化三大主题组团，构建特色鲜明、功能互补、联动发展的“一区示范、三组团联动”文旅产业发展新格局。</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 w:hAnsi="仿宋" w:eastAsia="仿宋" w:cs="仿宋"/>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推动产业深度融合发展。</w:t>
      </w:r>
      <w:r>
        <w:rPr>
          <w:rFonts w:hint="default" w:ascii="仿宋_GB2312" w:hAnsi="仿宋_GB2312" w:eastAsia="仿宋_GB2312" w:cs="仿宋_GB2312"/>
          <w:kern w:val="2"/>
          <w:sz w:val="32"/>
          <w:szCs w:val="32"/>
          <w:lang w:val="en-US" w:eastAsia="zh-CN" w:bidi="ar-SA"/>
        </w:rPr>
        <w:t>深化“文旅+研学”融合，依托朱子诞生地独特优势，高标准设计开发朱子文化、国学教育等主题精品研学课程和旅行线路，打造高水平上档次的研学旅行目的地。深化“文旅+康养”融合，重点推进东部文旅康养融合提升改造项目。充分利用汤川、桂峰等生态气候资源，联合梯田、侠天下、古溪星河等景点深度开发避暑度假、生态康养、高山康养产业，开发“理学静修”“朱子养生膳食”等特色康养产品。深化“文旅+商业”融合，繁荣“广场经济”与夜间消费，以朱子古街、古街片区为核心，打造朱子文化广场、古街文创广场，常态化举办非遗市集、街头艺术、光影秀、美食节等主题活动。深化“文旅+农业”融合，实施“梯田认养计划”“尤溪风物品牌共创计划”，将金柑、茶叶、笋竹等农产品升级为“朱子好礼”系列伴手礼。</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 w:hAnsi="仿宋" w:eastAsia="仿宋" w:cs="仿宋"/>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加强区域文旅资源协同串联。</w:t>
      </w:r>
      <w:r>
        <w:rPr>
          <w:rFonts w:hint="eastAsia" w:ascii="仿宋_GB2312" w:hAnsi="仿宋_GB2312" w:eastAsia="仿宋_GB2312" w:cs="仿宋_GB2312"/>
          <w:kern w:val="2"/>
          <w:sz w:val="32"/>
          <w:szCs w:val="32"/>
          <w:lang w:val="en-US" w:eastAsia="zh-CN" w:bidi="ar-SA"/>
        </w:rPr>
        <w:t>主</w:t>
      </w:r>
      <w:r>
        <w:rPr>
          <w:rFonts w:hint="default" w:ascii="仿宋_GB2312" w:hAnsi="仿宋_GB2312" w:eastAsia="仿宋_GB2312" w:cs="仿宋_GB2312"/>
          <w:kern w:val="2"/>
          <w:sz w:val="32"/>
          <w:szCs w:val="32"/>
          <w:lang w:val="en-US" w:eastAsia="zh-CN" w:bidi="ar-SA"/>
        </w:rPr>
        <w:t>动对接融入闽中协同发展区、福州都市圈建设，联动三明市域周边各县，统筹打造特色文化主题精品旅游线路。健全常态化跨区域文旅合作机制，联合策划开发跨域文旅产品，推进客源互送、资源共享、联合宣推一体化发展。聚焦核心客源市场实施精准营销，依托大数据研判游客消费偏好，定制差异化、个性化推广策略。全域升级旅游配套服务体系，持续提升文旅服务品质、优化全域旅游营商环境，合力扩容区域文旅消费市场。依托跨区域协同联动，将尤溪优质文旅资源嵌入全域旅游精品线路与产品矩阵，全面提升文旅资源转化效能与市场核心竞争力</w:t>
      </w:r>
      <w:r>
        <w:rPr>
          <w:rFonts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丰富城乡休闲文化活动。</w:t>
      </w:r>
      <w:r>
        <w:rPr>
          <w:rFonts w:hint="default" w:ascii="仿宋_GB2312" w:hAnsi="仿宋_GB2312" w:eastAsia="仿宋_GB2312" w:cs="仿宋_GB2312"/>
          <w:kern w:val="2"/>
          <w:sz w:val="32"/>
          <w:szCs w:val="32"/>
          <w:lang w:val="en-US" w:eastAsia="zh-CN" w:bidi="ar-SA"/>
        </w:rPr>
        <w:t>围绕朱子文化核心，结合非遗民俗与市民休闲需求丰富城区文化活动，在朱子文化园、朱子古街等地标举办特色文化活动与节庆活动。盘活公山福道等场地打造日常休闲文化场景，同时联动县博物馆、文化馆等场馆开展常态化文化惠民活动。整合城区周边文旅资源，推动下村村知青文化园、大赖坂等区域，改造闲置资产建成知青影院、营地等，打造知青文化、库区文化展示互动区，打造露营经济、周末音乐会等特色旅游产品。激活乡村旅游发展潜能，围绕高山、温泉、水系等核心资源，以环尤溪交旅融合示范公路为轴线，串联以洋中镇、汤川乡为核心的高山度假板块，以中仙镇为核心、辐射管前、八字桥的温泉康养板块，以及以坂面镇为核心的湖泊休闲板块，打造集生态休闲、温泉康养、滨水度假于一体的文旅康养休闲区。</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61" w:name="_Toc18358"/>
      <w:r>
        <w:rPr>
          <w:rFonts w:hint="default" w:ascii="黑体" w:hAnsi="黑体" w:eastAsia="黑体" w:cs="黑体"/>
          <w:b w:val="0"/>
          <w:bCs/>
          <w:snapToGrid w:val="0"/>
          <w:color w:val="auto"/>
          <w:szCs w:val="32"/>
          <w:highlight w:val="none"/>
        </w:rPr>
        <w:t>第四节 优化文旅发展基础环境</w:t>
      </w:r>
      <w:bookmarkEnd w:id="261"/>
    </w:p>
    <w:p>
      <w:pPr>
        <w:keepNext w:val="0"/>
        <w:keepLines w:val="0"/>
        <w:pageBreakBefore w:val="0"/>
        <w:widowControl w:val="0"/>
        <w:kinsoku/>
        <w:wordWrap/>
        <w:overflowPunct/>
        <w:topLinePunct w:val="0"/>
        <w:autoSpaceDE/>
        <w:autoSpaceDN/>
        <w:bidi w:val="0"/>
        <w:adjustRightInd/>
        <w:snapToGrid w:val="0"/>
        <w:spacing w:line="560" w:lineRule="exact"/>
        <w:ind w:firstLine="643"/>
        <w:jc w:val="both"/>
        <w:textAlignment w:val="auto"/>
        <w:rPr>
          <w:rFonts w:hint="default" w:ascii="Times New Roman" w:hAnsi="Times New Roman" w:eastAsia="方正仿宋_GB2312" w:cs="Times New Roman"/>
          <w:snapToGrid w:val="0"/>
          <w:color w:val="auto"/>
          <w:szCs w:val="32"/>
          <w:highlight w:val="none"/>
        </w:rPr>
      </w:pPr>
      <w:r>
        <w:rPr>
          <w:rFonts w:hint="default" w:ascii="仿宋_GB2312" w:hAnsi="仿宋_GB2312" w:eastAsia="仿宋_GB2312" w:cs="仿宋_GB2312"/>
          <w:kern w:val="2"/>
          <w:sz w:val="32"/>
          <w:szCs w:val="32"/>
          <w:lang w:val="en-US" w:eastAsia="zh-CN" w:bidi="ar-SA"/>
        </w:rPr>
        <w:t>针对当前存在的基础设施短板和机制障碍，强化项目、要素和政策保障，为尤溪文旅产业高质量发展奠定坚实基础。</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实施基础设施补短板工程。</w:t>
      </w:r>
      <w:r>
        <w:rPr>
          <w:rFonts w:hint="default" w:ascii="仿宋_GB2312" w:hAnsi="仿宋_GB2312" w:eastAsia="仿宋_GB2312" w:cs="仿宋_GB2312"/>
          <w:kern w:val="2"/>
          <w:sz w:val="32"/>
          <w:szCs w:val="32"/>
          <w:lang w:val="en-US" w:eastAsia="zh-CN" w:bidi="ar-SA"/>
        </w:rPr>
        <w:t>全面提升旅游接待能力和服务水平。推动民宿标准化管理，引导建设精品民宿和快捷酒店，持续优化景区接待水平。开通文化主题公交专线，加快构建“快进慢游”旅游交通网络。深度融入朱子文化元素，将交通设施、出行服务打造为文化体验载体，实现“车随景走、文化随行”。创新发展“交通+产业+旅游”模式，设计特色主题线路，串联特色产业与旅游资源，拓展文旅消费链条，全面提升旅游交通服务的文化内涵、生态品质与综合效益，助力打造绿色旅游示范样板。改造优化通往九阜山等主要景区景点的旅游公路网络和交通指引系统，争取规划建设环尤溪交旅融合示范公路，串联桂峰古村落、侠天下、古溪星河等</w:t>
      </w:r>
      <w:r>
        <w:rPr>
          <w:rFonts w:hint="default" w:ascii="仿宋_GB2312" w:hAnsi="仿宋_GB2312" w:eastAsia="仿宋_GB2312" w:cs="仿宋_GB2312"/>
          <w:kern w:val="2"/>
          <w:sz w:val="32"/>
          <w:szCs w:val="32"/>
          <w:lang w:val="zh-TW" w:eastAsia="zh-TW" w:bidi="ar-SA"/>
        </w:rPr>
        <w:t>4A</w:t>
      </w:r>
      <w:r>
        <w:rPr>
          <w:rFonts w:hint="default" w:ascii="仿宋_GB2312" w:hAnsi="仿宋_GB2312" w:eastAsia="仿宋_GB2312" w:cs="仿宋_GB2312"/>
          <w:kern w:val="2"/>
          <w:sz w:val="32"/>
          <w:szCs w:val="32"/>
          <w:lang w:val="en-US" w:eastAsia="zh-CN" w:bidi="ar-SA"/>
        </w:rPr>
        <w:t>景区及周边景点，规划建设主题旅游廊道，将串联景区的交通线路本身打造为风景道。在关键节点布局“尤溪漫游服务中心”，集成信息咨询、交通接驳、文创购物、休憩餐饮等功能，构建“主线—廊道—枢纽—景区”的全域旅游交通服务体系，破解旅游产品（景区）空间分散和“最后一公里”通达性问题，为游客提供便捷舒适的交通体验。</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培育壮大市场化经营主体。</w:t>
      </w:r>
      <w:r>
        <w:rPr>
          <w:rFonts w:hint="default" w:ascii="仿宋_GB2312" w:hAnsi="仿宋_GB2312" w:eastAsia="仿宋_GB2312" w:cs="仿宋_GB2312"/>
          <w:kern w:val="2"/>
          <w:sz w:val="32"/>
          <w:szCs w:val="32"/>
          <w:lang w:val="en-US" w:eastAsia="zh-CN" w:bidi="ar-SA"/>
        </w:rPr>
        <w:t>明确朱子文化传媒集团作为全县核心文旅资源的主要运营主体，通过资产划转、资源整合、资金注入等方式，增强企业实力和市场竞争力。通过委托经营、合作开发等方式，盘活存量文旅资产，投资开发旅游新业态，提升专业化运营水平和盈利能力。鼓励社会资本参与文旅项目开发运营，培育一批具有市场竞争力的文旅企业，激发市场主体活力。</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专栏31：文旅重大工程</w:t>
      </w:r>
    </w:p>
    <w:tbl>
      <w:tblPr>
        <w:tblStyle w:val="19"/>
        <w:tblW w:w="9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149" w:type="dxa"/>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朱子文化核心区打造项目。</w:t>
            </w:r>
            <w:r>
              <w:rPr>
                <w:rFonts w:hint="eastAsia" w:ascii="仿宋_GB2312" w:hAnsi="仿宋_GB2312" w:eastAsia="仿宋_GB2312" w:cs="仿宋_GB2312"/>
                <w:kern w:val="2"/>
                <w:sz w:val="32"/>
                <w:szCs w:val="32"/>
                <w:lang w:val="en-US" w:eastAsia="zh-CN" w:bidi="ar-SA"/>
              </w:rPr>
              <w:t>提升改造朱子文化园基础设施、南溪书院，打造朱子主题VR体验中心、朱子国潮空间，开发建设紫阳湖文旅小镇、青印溪朱子文化景观走廊、环汶水湖低空观光体验带和大濑坂茶餐旅综合体，建成完善的朱子文化塑形赋能体系；建设尤溪县非遗展示馆、尤溪县文化馆新建场馆、尤溪县新建图书馆、尤溪县少年儿童业余体育学校、全面提升尤溪县图书馆数字信息化建设、尤溪县广播电视发射台数字化改造、尤溪县公共数字广播系统、文旅执法宣教中心等。</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东部文旅康养融合提升改造项目。</w:t>
            </w:r>
            <w:r>
              <w:rPr>
                <w:rFonts w:hint="eastAsia" w:ascii="仿宋_GB2312" w:hAnsi="仿宋_GB2312" w:eastAsia="仿宋_GB2312" w:cs="仿宋_GB2312"/>
                <w:kern w:val="2"/>
                <w:sz w:val="32"/>
                <w:szCs w:val="32"/>
                <w:lang w:val="en-US" w:eastAsia="zh-CN" w:bidi="ar-SA"/>
              </w:rPr>
              <w:t>提升改造连接桂峰村、天堂村、官洋村、浮洋村、胡厝村、溪滨村六村的镇域旅游大环线道路、景观节点，建设生态停车场、观景台、休闲驿站；修缮桂峰村、浮洋村古民居、天堂村古民居，配套建设研学中心与古村落文化展示中心；以武洋自然村为核心的生态旅游路线，活化原花天下景区，建设串联自然景观的生态步道，引入露营、采摘等休闲项目；联动汤川侠天下、古溪星河等周边景区，提升改造联动道路。</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桂峰4A级景区文旅融合提升项目。</w:t>
            </w:r>
            <w:r>
              <w:rPr>
                <w:rFonts w:hint="eastAsia" w:ascii="仿宋_GB2312" w:hAnsi="仿宋_GB2312" w:eastAsia="仿宋_GB2312" w:cs="仿宋_GB2312"/>
                <w:kern w:val="2"/>
                <w:sz w:val="32"/>
                <w:szCs w:val="32"/>
                <w:lang w:val="en-US" w:eastAsia="zh-CN" w:bidi="ar-SA"/>
              </w:rPr>
              <w:t>打造绿色智慧旅游管理系统；闲置古民居提升改造和活化利用，打造非遗工坊、文化展示中心、研学教育基地等业态；培育桂峰文创品牌，打造核心文化IP并开发文创产品。</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闽湖水世界建设项目。</w:t>
            </w:r>
            <w:r>
              <w:rPr>
                <w:rFonts w:hint="eastAsia" w:ascii="仿宋_GB2312" w:hAnsi="仿宋_GB2312" w:eastAsia="仿宋_GB2312" w:cs="仿宋_GB2312"/>
                <w:kern w:val="2"/>
                <w:sz w:val="32"/>
                <w:szCs w:val="32"/>
                <w:lang w:val="en-US" w:eastAsia="zh-CN" w:bidi="ar-SA"/>
              </w:rPr>
              <w:t>建设水上亲子休闲娱乐乐园、水上运动区、鱼类观赏区、垂钓平台、水上救援训练基地；整合改造全鱼宴一条街、提升改造闽湖周边民宿、房车露营地、生态步道、喷泉广场、智慧停车场等及其他配套基础设施，配备游艇、摩托艇、水滑梯、水寨、造浪设备、水上运动设备等。</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全域旅游乡镇智慧文旅融合发展示范项目。</w:t>
            </w:r>
            <w:r>
              <w:rPr>
                <w:rFonts w:hint="eastAsia" w:ascii="仿宋_GB2312" w:hAnsi="仿宋_GB2312" w:eastAsia="仿宋_GB2312" w:cs="仿宋_GB2312"/>
                <w:kern w:val="2"/>
                <w:sz w:val="32"/>
                <w:szCs w:val="32"/>
                <w:lang w:val="en-US" w:eastAsia="zh-CN" w:bidi="ar-SA"/>
              </w:rPr>
              <w:t>在各个乡镇，村落打造文旅点，构筑尤溪全域旅游网络体系。梅仙智慧文旅融合发展中心、新阳中心片区文旅康养中心、南芹戏韵山居生态休闲湾、双鲤公馆峡休闲旅游观光、大模山户外旅游、尤溪口渔乐小镇景区提升改造、书京土堡基础设施提升、上地茶文化休闲中心、闽湖村文旅融合发展体验区、团结文明粮仓（老电影院）改造工程、中仙温泉度假小镇开发建设、春芝源莘田村旅游观光、环柳塘水陆休闲娱乐综合体等。</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红色研学基地建设。</w:t>
            </w:r>
            <w:r>
              <w:rPr>
                <w:rFonts w:hint="eastAsia" w:ascii="仿宋_GB2312" w:hAnsi="仿宋_GB2312" w:eastAsia="仿宋_GB2312" w:cs="仿宋_GB2312"/>
                <w:kern w:val="2"/>
                <w:sz w:val="32"/>
                <w:szCs w:val="32"/>
                <w:lang w:val="en-US" w:eastAsia="zh-CN" w:bidi="ar-SA"/>
              </w:rPr>
              <w:t>联合农耕文化研学基地、西滨镇乡村振兴与红色研学基地、九阜山特色研学基地、尤溪红四师师部旧址研学基地、抗日先遣队研学基地、竹峰村红色纪念馆、八字桥乡研学基地。</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eastAsia="方正仿宋_GB2312" w:cs="Times New Roman"/>
                <w:snapToGrid w:val="0"/>
                <w:color w:val="auto"/>
                <w:kern w:val="0"/>
                <w:sz w:val="24"/>
                <w:highlight w:val="none"/>
                <w:lang w:bidi="ar"/>
              </w:rPr>
            </w:pPr>
            <w:r>
              <w:rPr>
                <w:rFonts w:hint="eastAsia" w:ascii="仿宋_GB2312" w:hAnsi="仿宋_GB2312" w:eastAsia="仿宋_GB2312" w:cs="仿宋_GB2312"/>
                <w:b/>
                <w:bCs/>
                <w:kern w:val="2"/>
                <w:sz w:val="32"/>
                <w:szCs w:val="32"/>
                <w:lang w:val="en-US" w:eastAsia="zh-CN" w:bidi="ar-SA"/>
              </w:rPr>
              <w:t>全民健身服务基础设施建设。</w:t>
            </w:r>
            <w:r>
              <w:rPr>
                <w:rFonts w:hint="eastAsia" w:ascii="仿宋_GB2312" w:hAnsi="仿宋_GB2312" w:eastAsia="仿宋_GB2312" w:cs="仿宋_GB2312"/>
                <w:kern w:val="2"/>
                <w:sz w:val="32"/>
                <w:szCs w:val="32"/>
                <w:lang w:val="en-US" w:eastAsia="zh-CN" w:bidi="ar-SA"/>
              </w:rPr>
              <w:t>尤溪体育中心项目、尤溪县全民健身基础设施提升改造项目、尤溪县少年儿童业余体育学校项目、西城镇室外休闲体育公园、九阜山的骑行道、管前全民健身活动中心、八字桥乡村文化综合活动中心。</w:t>
            </w:r>
          </w:p>
        </w:tc>
      </w:tr>
      <w:bookmarkEnd w:id="225"/>
    </w:tbl>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方正仿宋_GB2312" w:hAnsi="方正仿宋_GB2312" w:eastAsia="方正仿宋_GB2312" w:cs="方正仿宋_GB2312"/>
          <w:color w:val="auto"/>
          <w:szCs w:val="32"/>
          <w:highlight w:val="none"/>
        </w:rPr>
      </w:pPr>
      <w:bookmarkStart w:id="262" w:name="_Toc2900"/>
      <w:bookmarkStart w:id="263" w:name="_Toc19550"/>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color w:val="auto"/>
          <w:szCs w:val="32"/>
          <w:highlight w:val="none"/>
        </w:rPr>
      </w:pPr>
      <w:r>
        <w:rPr>
          <w:rFonts w:hint="eastAsia" w:ascii="方正小标宋简体" w:hAnsi="方正小标宋简体" w:eastAsia="方正小标宋简体" w:cs="方正小标宋简体"/>
          <w:color w:val="auto"/>
          <w:szCs w:val="32"/>
          <w:highlight w:val="none"/>
        </w:rPr>
        <w:t>第十四章 着力安全治理，</w:t>
      </w:r>
      <w:bookmarkEnd w:id="262"/>
      <w:r>
        <w:rPr>
          <w:rFonts w:hint="eastAsia" w:ascii="方正小标宋简体" w:hAnsi="方正小标宋简体" w:eastAsia="方正小标宋简体" w:cs="方正小标宋简体"/>
          <w:color w:val="auto"/>
          <w:szCs w:val="32"/>
          <w:highlight w:val="none"/>
        </w:rPr>
        <w:t>巩固尤溪安全屏障</w:t>
      </w:r>
      <w:bookmarkEnd w:id="263"/>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TW" w:eastAsia="zh-TW" w:bidi="ar-SA"/>
        </w:rPr>
        <w:t>坚定不移贯彻总体国家安全观，坚持以高质量发展促进高水平安全，以高水平安全保障高质量发展，更好统筹发展和安全，有效防范化解重点领域风险，建设更高水平平安尤溪。</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64" w:name="_Toc4316"/>
      <w:bookmarkStart w:id="265" w:name="_Toc20963"/>
      <w:bookmarkStart w:id="266" w:name="_Toc22053"/>
      <w:bookmarkStart w:id="267" w:name="_Toc12850"/>
      <w:bookmarkStart w:id="268" w:name="_Toc3076"/>
      <w:bookmarkStart w:id="269" w:name="_Toc24226"/>
      <w:r>
        <w:rPr>
          <w:rFonts w:hint="default" w:ascii="黑体" w:hAnsi="黑体" w:eastAsia="黑体" w:cs="黑体"/>
          <w:b w:val="0"/>
          <w:bCs/>
          <w:snapToGrid w:val="0"/>
          <w:color w:val="auto"/>
          <w:szCs w:val="32"/>
          <w:highlight w:val="none"/>
        </w:rPr>
        <w:t>第一节 提升应急</w:t>
      </w:r>
      <w:bookmarkEnd w:id="264"/>
      <w:bookmarkEnd w:id="265"/>
      <w:bookmarkEnd w:id="266"/>
      <w:bookmarkEnd w:id="267"/>
      <w:bookmarkEnd w:id="268"/>
      <w:r>
        <w:rPr>
          <w:rFonts w:hint="default" w:ascii="黑体" w:hAnsi="黑体" w:eastAsia="黑体" w:cs="黑体"/>
          <w:b w:val="0"/>
          <w:bCs/>
          <w:snapToGrid w:val="0"/>
          <w:color w:val="auto"/>
          <w:szCs w:val="32"/>
          <w:highlight w:val="none"/>
        </w:rPr>
        <w:t>管理能力和应急应变效能</w:t>
      </w:r>
      <w:bookmarkEnd w:id="26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zh-TW" w:eastAsia="zh-TW" w:bidi="ar-SA"/>
        </w:rPr>
        <w:t>要从注重灾后救助向注重灾前预防转变、从应对单一灾种向综合减灾转变、从减少灾害损失向减轻灾害风险转变，扎实开展突发事件预防与应急准备、监测与预警、应急处置与救援等工作，全面提升应急管理能力和应急应变效能。</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建立健全应急责任体系。</w:t>
      </w:r>
      <w:r>
        <w:rPr>
          <w:rFonts w:hint="default" w:ascii="仿宋_GB2312" w:hAnsi="仿宋_GB2312" w:eastAsia="仿宋_GB2312" w:cs="仿宋_GB2312"/>
          <w:kern w:val="2"/>
          <w:sz w:val="32"/>
          <w:szCs w:val="32"/>
          <w:lang w:val="zh-TW" w:eastAsia="zh-TW" w:bidi="ar-SA"/>
        </w:rPr>
        <w:t>严格实施应急管理与安全生产责任制考核，推动构建科学严谨的考核体系，健全考核结果运用机制。增加应急管理与安全生产工作在干部绩效考核评价指标体系中的权重。建立健全应急管理与安全生产巡查督导机制，推动各级各部门履职尽责。严格落实企业主体责任，深化全员安全生产责任制，切实做到安全责任、安全管理、安全投入、安全培训、应急救援“五到位”。</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完善基层应急支撑保障。</w:t>
      </w:r>
      <w:r>
        <w:rPr>
          <w:rFonts w:hint="default" w:ascii="仿宋_GB2312" w:hAnsi="仿宋_GB2312" w:eastAsia="仿宋_GB2312" w:cs="仿宋_GB2312"/>
          <w:kern w:val="2"/>
          <w:sz w:val="32"/>
          <w:szCs w:val="32"/>
          <w:lang w:val="zh-TW" w:eastAsia="zh-TW" w:bidi="ar-SA"/>
        </w:rPr>
        <w:t>支持在城关镇建设应急备用水源工程，以解决突发性水源污染导致水源水质安全问题，解决极端干旱、季节性排涝等引起水源水量不足问题。按照“分区配置、蓄引并举、多源保障、城乡一体”的思路，新建一批中小型水库工程，开展新建灌区及已建灌区续建配套与节水改造工作。开展中部片区引调水项目建设，提高综合水资源利用效益和城乡供水保障能力。大力推进群众饮水安全建设攻坚战，按照“先急后缓，先重后轻”的原则，分批次逐村推进农村供水工程向集中式、规范化水厂建设转变。依托防洪提升、中小河流治理、重点山洪沟防治、水土保持等体系治理，不断完善洪涝兼顾、安全可靠的洪涝防御体系。</w:t>
      </w:r>
      <w:r>
        <w:rPr>
          <w:rFonts w:hint="default" w:ascii="仿宋_GB2312" w:hAnsi="仿宋_GB2312" w:eastAsia="仿宋_GB2312" w:cs="仿宋_GB2312"/>
          <w:kern w:val="2"/>
          <w:sz w:val="32"/>
          <w:szCs w:val="32"/>
          <w:lang w:val="en-US" w:eastAsia="zh-CN" w:bidi="ar-SA"/>
        </w:rPr>
        <w:t>支持基层应急消防保障体系建设，以“一站多能、防消一体”的构建指引，依托社区微型消防站、防灾减灾物资仓库、社区警务室等固定场地，每个街道重点打造2—3个区域性的社区应急消防服务站，各乡镇均建有应急消防服务站。</w:t>
      </w:r>
      <w:r>
        <w:rPr>
          <w:rFonts w:hint="default" w:ascii="仿宋_GB2312" w:hAnsi="仿宋_GB2312" w:eastAsia="仿宋_GB2312" w:cs="仿宋_GB2312"/>
          <w:kern w:val="2"/>
          <w:sz w:val="32"/>
          <w:szCs w:val="32"/>
          <w:lang w:val="zh-TW" w:eastAsia="zh-TW" w:bidi="ar-SA"/>
        </w:rPr>
        <w:t>2026</w:t>
      </w:r>
      <w:r>
        <w:rPr>
          <w:rFonts w:hint="default" w:ascii="仿宋_GB2312" w:hAnsi="仿宋_GB2312" w:eastAsia="仿宋_GB2312" w:cs="仿宋_GB2312"/>
          <w:kern w:val="2"/>
          <w:sz w:val="32"/>
          <w:szCs w:val="32"/>
          <w:lang w:val="en-US" w:eastAsia="zh-CN" w:bidi="ar-SA"/>
        </w:rPr>
        <w:t>年西滨镇需达到二级乡镇专职消防队建设标准，联合镇、汤川乡、管前镇需达到志愿消防队建设标准。</w:t>
      </w:r>
      <w:r>
        <w:rPr>
          <w:rFonts w:hint="default" w:ascii="仿宋_GB2312" w:hAnsi="仿宋_GB2312" w:eastAsia="仿宋_GB2312" w:cs="仿宋_GB2312"/>
          <w:kern w:val="2"/>
          <w:sz w:val="32"/>
          <w:szCs w:val="32"/>
          <w:lang w:val="zh-TW" w:eastAsia="zh-TW" w:bidi="ar-SA"/>
        </w:rPr>
        <w:t>2027年新阳镇、梅仙镇需达到二级乡镇专职消防队建设标准，溪尾乡、中仙镇、尤溪口镇需达到志愿消防队建设标准。2028年坂面镇需达到二级乡镇专职消防队建设标准，台溪乡、八字桥乡需达到志愿消防队</w:t>
      </w:r>
      <w:r>
        <w:rPr>
          <w:rFonts w:hint="default" w:ascii="仿宋_GB2312" w:hAnsi="仿宋_GB2312" w:eastAsia="仿宋_GB2312" w:cs="仿宋_GB2312"/>
          <w:kern w:val="2"/>
          <w:sz w:val="32"/>
          <w:szCs w:val="32"/>
          <w:lang w:val="en-US" w:eastAsia="zh-CN" w:bidi="ar-SA"/>
        </w:rPr>
        <w:t>建设标准。支持管前镇西溪口村申报省级地灾治理工程项目，解决山体滑坡造成人民群众生命、财产安全隐患问题。加强交通应急保障能力建设，提升监测预警、应急响应、现场指挥、抢险救援等全链条处置效能。加快国省道、县乡公路等骨干路网易灾路段、桥梁隧道的抗灾加固与隐患整治，规划预留应急运输通道；建立交通应急抢险队伍，储备防汛、清障等应急物资装备，完善极端天气、地质灾害等突发事件下的交通管制、疏散绕行与快速抢通机制。推进无人机空地一体化体系建设，加强基层卫星电话、无线通信设备、北斗终端等应急通信装备应用，提升极端状态下应急通信保障能力。</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强化基层安全风险防控。</w:t>
      </w:r>
      <w:r>
        <w:rPr>
          <w:rFonts w:hint="default" w:ascii="仿宋_GB2312" w:hAnsi="仿宋_GB2312" w:eastAsia="仿宋_GB2312" w:cs="仿宋_GB2312"/>
          <w:kern w:val="2"/>
          <w:sz w:val="32"/>
          <w:szCs w:val="32"/>
          <w:lang w:val="en-US" w:eastAsia="zh-CN" w:bidi="ar-SA"/>
        </w:rPr>
        <w:t>加强风险评估和监测预警，提升多灾种和灾害链综合监测、风险早期识别和预报预警能力，加强应急预案管理，健全应急预案体系。实施精准治理，做到预警发布精准、抢险救援精准、恢复重建精准、监管执法精准。推动生产经营单位健全隐患自查自改和内部报告建立机制，深化安全生产信用管理，推广安全生产举报系统，鼓励群众举报风险隐患并落实奖励规定。</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 w:hAnsi="仿宋" w:eastAsia="仿宋" w:cs="仿宋"/>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提升基层应急处置能力。</w:t>
      </w:r>
      <w:r>
        <w:rPr>
          <w:rFonts w:hint="default" w:ascii="仿宋_GB2312" w:hAnsi="仿宋_GB2312" w:eastAsia="仿宋_GB2312" w:cs="仿宋_GB2312"/>
          <w:kern w:val="2"/>
          <w:sz w:val="32"/>
          <w:szCs w:val="32"/>
          <w:lang w:val="en-US" w:eastAsia="zh-CN" w:bidi="ar-SA"/>
        </w:rPr>
        <w:t>支持应急物资储备库及设施设备建设、应急物资采购和储备管理，丰富应急物资品种类别、增加储备数量、提升保供能力，满足不同应急场景多样化要求；构建完善“综合+专业+社会”基层应急救援力量体系，推动应急救援训练场地与国防动员场所设施共建共享；推进应急避难场所与基础设施融合共建、综合利用，确保乡镇、村（社区）至少有一个本级应急避难场所。积极推进闽湖水上应急救援实训基地项目建设，建成后承担全省救助、打捞机构专项业务培训、大型水上应急演练，并可为从事水上搜救、执法人员提供日常训练、演练等服务。</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加强森林防灭火体系建设。</w:t>
      </w:r>
      <w:r>
        <w:rPr>
          <w:rFonts w:hint="default" w:ascii="仿宋_GB2312" w:hAnsi="仿宋_GB2312" w:eastAsia="仿宋_GB2312" w:cs="仿宋_GB2312"/>
          <w:kern w:val="2"/>
          <w:sz w:val="32"/>
          <w:szCs w:val="32"/>
          <w:lang w:val="en-US" w:eastAsia="zh-CN" w:bidi="ar-SA"/>
        </w:rPr>
        <w:t>在全县森林防火重点区位，规划新建灭火蓄水池、天然水源取水点以及森林防火应急公路，改造森林防火道路，新建生物防火隔离带，在林区制高点新建森林防火瞭</w:t>
      </w:r>
      <w:r>
        <w:rPr>
          <w:rFonts w:hint="eastAsia" w:ascii="仿宋_GB2312" w:hAnsi="仿宋_GB2312" w:eastAsia="仿宋_GB2312" w:cs="仿宋_GB2312"/>
          <w:kern w:val="2"/>
          <w:sz w:val="32"/>
          <w:szCs w:val="32"/>
          <w:lang w:val="en-US" w:eastAsia="zh-CN" w:bidi="ar-SA"/>
        </w:rPr>
        <w:t>望</w:t>
      </w:r>
      <w:r>
        <w:rPr>
          <w:rFonts w:hint="default" w:ascii="仿宋_GB2312" w:hAnsi="仿宋_GB2312" w:eastAsia="仿宋_GB2312" w:cs="仿宋_GB2312"/>
          <w:kern w:val="2"/>
          <w:sz w:val="32"/>
          <w:szCs w:val="32"/>
          <w:lang w:val="en-US" w:eastAsia="zh-CN" w:bidi="ar-SA"/>
        </w:rPr>
        <w:t>塔、引水灭火蓄水池等，并配设有智慧森林防火指挥中心、巡护无人机、遥感监测和专业灭火扑救设备等综合防控体系。通过加强基础设施和装备建设，完善森林火灾预防、扑救和保障三大体系建设，综合利用天空地人一体化等现代化手段，全面提升尤溪县森林火灾防控和扑灭能力，切实提高尤溪县森林防灭火的现代化水平。</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70" w:name="_Toc12525"/>
      <w:bookmarkStart w:id="271" w:name="_Toc13059"/>
      <w:bookmarkStart w:id="272" w:name="_Toc10660"/>
      <w:bookmarkStart w:id="273" w:name="_Toc20424"/>
      <w:bookmarkStart w:id="274" w:name="_Toc26883"/>
      <w:bookmarkStart w:id="275" w:name="_Toc13457"/>
      <w:bookmarkStart w:id="276" w:name="_Toc13554"/>
      <w:bookmarkStart w:id="277" w:name="_Toc25154"/>
      <w:bookmarkStart w:id="278" w:name="_Toc15016"/>
      <w:bookmarkStart w:id="279" w:name="_Toc23232"/>
      <w:bookmarkStart w:id="280" w:name="_Toc19999"/>
      <w:bookmarkStart w:id="281" w:name="_Toc1093"/>
      <w:r>
        <w:rPr>
          <w:rFonts w:hint="default" w:ascii="黑体" w:hAnsi="黑体" w:eastAsia="黑体" w:cs="黑体"/>
          <w:b w:val="0"/>
          <w:bCs/>
          <w:snapToGrid w:val="0"/>
          <w:color w:val="auto"/>
          <w:szCs w:val="32"/>
          <w:highlight w:val="none"/>
        </w:rPr>
        <w:t xml:space="preserve">第二节 </w:t>
      </w:r>
      <w:bookmarkEnd w:id="270"/>
      <w:bookmarkEnd w:id="271"/>
      <w:bookmarkEnd w:id="272"/>
      <w:bookmarkEnd w:id="273"/>
      <w:bookmarkEnd w:id="274"/>
      <w:r>
        <w:rPr>
          <w:rFonts w:hint="default" w:ascii="黑体" w:hAnsi="黑体" w:eastAsia="黑体" w:cs="黑体"/>
          <w:b w:val="0"/>
          <w:bCs/>
          <w:snapToGrid w:val="0"/>
          <w:color w:val="auto"/>
          <w:szCs w:val="32"/>
          <w:highlight w:val="none"/>
        </w:rPr>
        <w:t>强化公共安全保障</w:t>
      </w:r>
      <w:bookmarkEnd w:id="275"/>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深入开展安全生产治本攻坚三年行动，聚焦道路交通、工贸、消防、矿山等重点领域安全风险，推动一批“人防、技防、工程防、管理防”措施落地见效，推动公共安全治理模式向事前预防转型，提升本质安全水平。</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始终把安全生产工作摆在重要位置。</w:t>
      </w:r>
      <w:r>
        <w:rPr>
          <w:rFonts w:hint="default" w:ascii="仿宋_GB2312" w:hAnsi="仿宋_GB2312" w:eastAsia="仿宋_GB2312" w:cs="仿宋_GB2312"/>
          <w:kern w:val="2"/>
          <w:sz w:val="32"/>
          <w:szCs w:val="32"/>
          <w:lang w:val="en-US" w:eastAsia="zh-CN" w:bidi="ar-SA"/>
        </w:rPr>
        <w:t>严格落实“党政同责、一岗双责、失职追责”要求，压实压紧地方属地责任、部门监管责任和企业主体责任，定期召开安全生产专题会议，研究部署安全生产工作，明确各乡镇、各部门职责，使各方把该担的责任担起来，做到安全投入到位、安全培训到位、基础管理到位、应急救援到位，形成齐抓共管的良好局面。</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定期开展公共安全领域全面排查。</w:t>
      </w:r>
      <w:r>
        <w:rPr>
          <w:rFonts w:hint="default" w:ascii="仿宋_GB2312" w:hAnsi="仿宋_GB2312" w:eastAsia="仿宋_GB2312" w:cs="仿宋_GB2312"/>
          <w:kern w:val="2"/>
          <w:sz w:val="32"/>
          <w:szCs w:val="32"/>
          <w:lang w:val="en-US" w:eastAsia="zh-CN" w:bidi="ar-SA"/>
        </w:rPr>
        <w:t>按照“全覆盖、零容忍、严排查、重实效”的原则，成立专项检查组，对排查发现的隐患逐一建立问题整改台账，实行“排查—整改—回头看”全流程闭环管理，确保隐患整改到位。运用数字技术和智能技术，创新打造数智安全平台，搭建“部门－乡镇－企业（场所）”三端联动、分级管控、职责分明的立体化监管体系，开展安全生产实时监控。加强气象、水文、地质等灾害监测预报预警，提高防灾减灾救灾和重大突发公共事件处置保障能力。完善和落实安全生产责任制，深化“餐桌污染”治理，强化食品药品全链条监管。深化网络空间安全综合治理，加强个人信息保护。</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r>
        <w:rPr>
          <w:rFonts w:hint="default" w:ascii="黑体" w:hAnsi="黑体" w:eastAsia="黑体" w:cs="黑体"/>
          <w:b w:val="0"/>
          <w:bCs/>
          <w:snapToGrid w:val="0"/>
          <w:color w:val="auto"/>
          <w:szCs w:val="32"/>
          <w:highlight w:val="none"/>
        </w:rPr>
        <w:t xml:space="preserve">第三节 </w:t>
      </w:r>
      <w:bookmarkEnd w:id="276"/>
      <w:bookmarkEnd w:id="277"/>
      <w:bookmarkEnd w:id="278"/>
      <w:bookmarkEnd w:id="279"/>
      <w:bookmarkEnd w:id="280"/>
      <w:r>
        <w:rPr>
          <w:rFonts w:hint="default" w:ascii="黑体" w:hAnsi="黑体" w:eastAsia="黑体" w:cs="黑体"/>
          <w:b w:val="0"/>
          <w:bCs/>
          <w:snapToGrid w:val="0"/>
          <w:color w:val="auto"/>
          <w:szCs w:val="32"/>
          <w:highlight w:val="none"/>
        </w:rPr>
        <w:t>筑牢重点领域安全防线</w:t>
      </w:r>
      <w:bookmarkEnd w:id="281"/>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 w:hAnsi="仿宋" w:eastAsia="仿宋" w:cs="仿宋"/>
          <w:snapToGrid w:val="0"/>
          <w:color w:val="auto"/>
          <w:szCs w:val="32"/>
          <w:highlight w:val="none"/>
          <w:lang w:val="en-US" w:eastAsia="zh-CN"/>
        </w:rPr>
      </w:pPr>
      <w:r>
        <w:rPr>
          <w:rFonts w:hint="default" w:ascii="仿宋_GB2312" w:hAnsi="仿宋_GB2312" w:eastAsia="仿宋_GB2312" w:cs="仿宋_GB2312"/>
          <w:kern w:val="2"/>
          <w:sz w:val="32"/>
          <w:szCs w:val="32"/>
          <w:lang w:val="en-US" w:eastAsia="zh-CN" w:bidi="ar-SA"/>
        </w:rPr>
        <w:t>统筹推进房地产、地方政府债务、中小金融机构等风险有序化解，提高财政统筹能力，严防系统性风险。</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支持房地产市场健康发展。</w:t>
      </w:r>
      <w:r>
        <w:rPr>
          <w:rFonts w:hint="default" w:ascii="仿宋_GB2312" w:hAnsi="仿宋_GB2312" w:eastAsia="仿宋_GB2312" w:cs="仿宋_GB2312"/>
          <w:kern w:val="2"/>
          <w:sz w:val="32"/>
          <w:szCs w:val="32"/>
          <w:lang w:val="en-US" w:eastAsia="zh-CN" w:bidi="ar-SA"/>
        </w:rPr>
        <w:t>用好用足政策措施，更好支持刚性和改善性住房需求，加快消化存量商品房，推动房地产市场止跌回稳。“一楼一策”全力化解不动产“登记难”问题，扎实做好保交楼、保交房、保民生工作，力争做到群众无过错即办证。</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提高财政统筹能力。</w:t>
      </w:r>
      <w:r>
        <w:rPr>
          <w:rFonts w:hint="default" w:ascii="仿宋_GB2312" w:hAnsi="仿宋_GB2312" w:eastAsia="仿宋_GB2312" w:cs="仿宋_GB2312"/>
          <w:kern w:val="2"/>
          <w:sz w:val="32"/>
          <w:szCs w:val="32"/>
          <w:lang w:val="en-US" w:eastAsia="zh-CN" w:bidi="ar-SA"/>
        </w:rPr>
        <w:t>严格落实“过紧日子”要求，推进零基预算改革，兜稳兜牢“三保”底线。促进财政资源与经济发展的跨期统筹匹配，以“财政+”模式为载体，推动财政职能向更宽领域延伸，强化财政金融联动赋能，实现政策效用扩面提质。以新技术应用为支撑，推动数字财政向数智财政转型升级，实现财政管理效能全面提升。</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 w:hAnsi="仿宋" w:eastAsia="仿宋" w:cs="仿宋"/>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加强政府债务管理。</w:t>
      </w:r>
      <w:r>
        <w:rPr>
          <w:rFonts w:hint="default" w:ascii="仿宋_GB2312" w:hAnsi="仿宋_GB2312" w:eastAsia="仿宋_GB2312" w:cs="仿宋_GB2312"/>
          <w:kern w:val="2"/>
          <w:sz w:val="32"/>
          <w:szCs w:val="32"/>
          <w:lang w:val="en-US" w:eastAsia="zh-CN" w:bidi="ar-SA"/>
        </w:rPr>
        <w:t>健全完善政府债务动态监测和风险评估预警机制，严格落实一揽子化债举措和地方政府债务限额管理要求，严格控制政府债务规模，加强政府专项债券“借、用、管、还”全生命周期监管，提高债券资金使用效益。</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防范化解金融风险。</w:t>
      </w:r>
      <w:r>
        <w:rPr>
          <w:rFonts w:hint="default" w:ascii="仿宋_GB2312" w:hAnsi="仿宋_GB2312" w:eastAsia="仿宋_GB2312" w:cs="仿宋_GB2312"/>
          <w:kern w:val="2"/>
          <w:sz w:val="32"/>
          <w:szCs w:val="32"/>
          <w:lang w:val="en-US" w:eastAsia="zh-CN" w:bidi="ar-SA"/>
        </w:rPr>
        <w:t>开展金融风险处置集中攻坚行动，加大打击恶意逃废债力度，加快涉金融债权案件执行，防范金融风险传导转化为财政风险；对全县小额贷款公司、融资担保公司、典当行等地方类金融机构开展现场检查；加强防范非法金融活动普法宣传，全力守护好人民群众的“钱袋子”。</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82" w:name="_Toc31124"/>
      <w:bookmarkStart w:id="283" w:name="_Toc32606"/>
      <w:bookmarkStart w:id="284" w:name="_Toc24846"/>
      <w:bookmarkStart w:id="285" w:name="_Toc22952"/>
      <w:bookmarkStart w:id="286" w:name="_Toc3131"/>
      <w:bookmarkStart w:id="287" w:name="_Toc11510"/>
      <w:r>
        <w:rPr>
          <w:rFonts w:hint="default" w:ascii="黑体" w:hAnsi="黑体" w:eastAsia="黑体" w:cs="黑体"/>
          <w:b w:val="0"/>
          <w:bCs/>
          <w:snapToGrid w:val="0"/>
          <w:color w:val="auto"/>
          <w:szCs w:val="32"/>
          <w:highlight w:val="none"/>
        </w:rPr>
        <w:t>第四节 建设更高水平的法治尤溪</w:t>
      </w:r>
      <w:bookmarkEnd w:id="282"/>
      <w:bookmarkEnd w:id="283"/>
      <w:bookmarkEnd w:id="284"/>
      <w:bookmarkEnd w:id="285"/>
      <w:bookmarkEnd w:id="286"/>
      <w:bookmarkEnd w:id="287"/>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统筹推进科学立法、严格执法、公正司法、全民守法，加大法治惠民力度，不断提升公民法治素养，推动法治精神深入人心。</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着力护航高质量发展。</w:t>
      </w:r>
      <w:r>
        <w:rPr>
          <w:rFonts w:hint="default" w:ascii="仿宋_GB2312" w:hAnsi="仿宋_GB2312" w:eastAsia="仿宋_GB2312" w:cs="仿宋_GB2312"/>
          <w:kern w:val="2"/>
          <w:sz w:val="32"/>
          <w:szCs w:val="32"/>
          <w:lang w:val="en-US" w:eastAsia="zh-CN" w:bidi="ar-SA"/>
        </w:rPr>
        <w:t>深化法治政府建设，完善重大决策、规范性文件合法性审查机制，发挥行政复议化解行政争议的主渠道作用，不断提高依法行政水平；持续规范涉企行政执法，进一步优化法治化营商环境。聚焦维护司法公平正义，巩固深化司法体制综合配套改革，大力推进司法救助和社会救助相衔接，不断提高司法质量和公信力。</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加强法治宣传教育。</w:t>
      </w:r>
      <w:r>
        <w:rPr>
          <w:rFonts w:hint="default" w:ascii="仿宋_GB2312" w:hAnsi="仿宋_GB2312" w:eastAsia="仿宋_GB2312" w:cs="仿宋_GB2312"/>
          <w:kern w:val="2"/>
          <w:sz w:val="32"/>
          <w:szCs w:val="32"/>
          <w:lang w:val="en-US" w:eastAsia="zh-CN" w:bidi="ar-SA"/>
        </w:rPr>
        <w:t>优化社区治理体系，根据人口分布和城市发展需要，合理增加社区数量，配齐配强社区工作者队伍建设，提升基层治理能力。加强社会主义法治文化建设，全面开展“九五”普法工作，加大公民法治教育力度。深化“蒲公英+朱子家训”“校地共建送法下乡法律志愿服务”“以案释法”等普法品牌，提升基层依法治理能力和水平，推动全社会增强法治观念。</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方正仿宋_GB2312" w:hAnsi="方正仿宋_GB2312" w:eastAsia="方正仿宋_GB2312" w:cs="方正仿宋_GB2312"/>
          <w:snapToGrid w:val="0"/>
          <w:color w:val="auto"/>
          <w:szCs w:val="32"/>
          <w:highlight w:val="none"/>
          <w:lang w:val="en-US" w:eastAsia="zh-CN"/>
        </w:rPr>
      </w:pPr>
      <w:r>
        <w:rPr>
          <w:rFonts w:hint="default" w:ascii="楷体_GB2312" w:hAnsi="楷体_GB2312" w:eastAsia="楷体_GB2312" w:cs="楷体_GB2312"/>
          <w:b/>
          <w:bCs/>
          <w:kern w:val="2"/>
          <w:sz w:val="32"/>
          <w:szCs w:val="32"/>
          <w:lang w:val="en-US" w:eastAsia="zh-CN" w:bidi="ar-SA"/>
        </w:rPr>
        <w:t>完善社会治理体系。</w:t>
      </w:r>
      <w:r>
        <w:rPr>
          <w:rFonts w:hint="default" w:ascii="仿宋_GB2312" w:hAnsi="仿宋_GB2312" w:eastAsia="仿宋_GB2312" w:cs="仿宋_GB2312"/>
          <w:kern w:val="2"/>
          <w:sz w:val="32"/>
          <w:szCs w:val="32"/>
          <w:lang w:val="en-US" w:eastAsia="zh-CN" w:bidi="ar-SA"/>
        </w:rPr>
        <w:t>坚持发展新时代“枫桥经验”，加强乡村治理，完善社区治理。深入开展信访积案化解稳控行动，深入推进县乡两级综治中心实体化运行，全面推进信访工作法治化，牢牢守住“三个不发生”底线。推进社会治安整体防控体系和能力建设，常态化推进扫黑除恶斗争，严打涉黑涉恶、黄赌毒、食药环、盗抢骗等突出违法犯罪，扎实推进国防动员和后备力量建设，完善新时代双拥工作机制，做好军民融合、全民国防教育、退役军人和其他优抚对象服务保障等工作，巩固军政军民团结。</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楷体_GB2312" w:hAnsi="楷体_GB2312" w:eastAsia="楷体_GB2312" w:cs="楷体_GB2312"/>
          <w:b/>
          <w:bCs/>
          <w:kern w:val="2"/>
          <w:sz w:val="32"/>
          <w:szCs w:val="32"/>
          <w:lang w:val="en-US" w:eastAsia="zh-CN" w:bidi="ar-SA"/>
        </w:rPr>
      </w:pPr>
      <w:r>
        <w:rPr>
          <w:rFonts w:hint="default" w:ascii="楷体_GB2312" w:hAnsi="楷体_GB2312" w:eastAsia="楷体_GB2312" w:cs="楷体_GB2312"/>
          <w:b/>
          <w:bCs/>
          <w:kern w:val="2"/>
          <w:sz w:val="32"/>
          <w:szCs w:val="32"/>
          <w:lang w:val="zh-TW" w:eastAsia="zh-TW" w:bidi="ar-SA"/>
        </w:rPr>
        <w:t>专栏</w:t>
      </w:r>
      <w:r>
        <w:rPr>
          <w:rFonts w:hint="default" w:ascii="楷体_GB2312" w:hAnsi="楷体_GB2312" w:eastAsia="楷体_GB2312" w:cs="楷体_GB2312"/>
          <w:b/>
          <w:bCs/>
          <w:kern w:val="2"/>
          <w:sz w:val="32"/>
          <w:szCs w:val="32"/>
          <w:lang w:val="en-US" w:eastAsia="zh-CN" w:bidi="ar-SA"/>
        </w:rPr>
        <w:t>32：</w:t>
      </w:r>
      <w:r>
        <w:rPr>
          <w:rFonts w:hint="default" w:ascii="楷体_GB2312" w:hAnsi="楷体_GB2312" w:eastAsia="楷体_GB2312" w:cs="楷体_GB2312"/>
          <w:b/>
          <w:bCs/>
          <w:kern w:val="2"/>
          <w:sz w:val="32"/>
          <w:szCs w:val="32"/>
          <w:lang w:val="zh-TW" w:eastAsia="zh-TW" w:bidi="ar-SA"/>
        </w:rPr>
        <w:t>风险防控领域重大工程项目</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060" w:type="dxa"/>
            <w:vAlign w:val="top"/>
          </w:tcPr>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TW" w:eastAsia="zh-TW" w:bidi="ar-SA"/>
              </w:rPr>
            </w:pPr>
            <w:r>
              <w:rPr>
                <w:rFonts w:hint="eastAsia" w:ascii="仿宋_GB2312" w:hAnsi="仿宋_GB2312" w:eastAsia="仿宋_GB2312" w:cs="仿宋_GB2312"/>
                <w:b/>
                <w:bCs/>
                <w:kern w:val="2"/>
                <w:sz w:val="32"/>
                <w:szCs w:val="32"/>
                <w:lang w:val="zh-TW" w:eastAsia="zh-TW" w:bidi="ar-SA"/>
              </w:rPr>
              <w:t>尤溪县闽湖水上应急救援实训基地项目。</w:t>
            </w:r>
            <w:r>
              <w:rPr>
                <w:rFonts w:hint="eastAsia" w:ascii="仿宋_GB2312" w:hAnsi="仿宋_GB2312" w:eastAsia="仿宋_GB2312" w:cs="仿宋_GB2312"/>
                <w:kern w:val="2"/>
                <w:sz w:val="32"/>
                <w:szCs w:val="32"/>
                <w:lang w:val="zh-TW" w:eastAsia="zh-TW" w:bidi="ar-SA"/>
              </w:rPr>
              <w:t>打造水上救援、技能培训、应急演练、防灾减灾救灾宣教为一体的实训基地。基地包括水域训练区、水上救助技能训练中心、综合业务和后勤服务区，将建设训练用房、综合楼、培训楼、码头、波浪池、直升机停机坪等救助技能训练设施、教学和后勤服务设施及相关配套设施。</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TW" w:eastAsia="zh-TW" w:bidi="ar-SA"/>
              </w:rPr>
            </w:pPr>
            <w:r>
              <w:rPr>
                <w:rFonts w:hint="eastAsia" w:ascii="仿宋_GB2312" w:hAnsi="仿宋_GB2312" w:eastAsia="仿宋_GB2312" w:cs="仿宋_GB2312"/>
                <w:b/>
                <w:bCs/>
                <w:kern w:val="2"/>
                <w:sz w:val="32"/>
                <w:szCs w:val="32"/>
                <w:lang w:val="zh-TW" w:eastAsia="zh-TW" w:bidi="ar-SA"/>
              </w:rPr>
              <w:t>尤溪县应急备用水源建设工程项目。</w:t>
            </w:r>
            <w:r>
              <w:rPr>
                <w:rFonts w:hint="eastAsia" w:ascii="仿宋_GB2312" w:hAnsi="仿宋_GB2312" w:eastAsia="仿宋_GB2312" w:cs="仿宋_GB2312"/>
                <w:kern w:val="2"/>
                <w:sz w:val="32"/>
                <w:szCs w:val="32"/>
                <w:lang w:val="en-US" w:eastAsia="zh-CN" w:bidi="ar-SA"/>
              </w:rPr>
              <w:t>在</w:t>
            </w:r>
            <w:r>
              <w:rPr>
                <w:rFonts w:hint="eastAsia" w:ascii="仿宋_GB2312" w:hAnsi="仿宋_GB2312" w:eastAsia="仿宋_GB2312" w:cs="仿宋_GB2312"/>
                <w:kern w:val="2"/>
                <w:sz w:val="32"/>
                <w:szCs w:val="32"/>
                <w:lang w:val="zh-TW" w:eastAsia="zh-TW" w:bidi="ar-SA"/>
              </w:rPr>
              <w:t>尤溪县中心城区新增一个稳定可靠的应急备用水源。</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eastAsia" w:ascii="仿宋_GB2312" w:hAnsi="仿宋_GB2312" w:eastAsia="仿宋_GB2312" w:cs="仿宋_GB2312"/>
                <w:kern w:val="2"/>
                <w:sz w:val="32"/>
                <w:szCs w:val="32"/>
                <w:lang w:val="zh-TW" w:eastAsia="zh-TW" w:bidi="ar-SA"/>
              </w:rPr>
            </w:pPr>
            <w:r>
              <w:rPr>
                <w:rFonts w:hint="eastAsia" w:ascii="仿宋_GB2312" w:hAnsi="仿宋_GB2312" w:eastAsia="仿宋_GB2312" w:cs="仿宋_GB2312"/>
                <w:b/>
                <w:bCs/>
                <w:kern w:val="2"/>
                <w:sz w:val="32"/>
                <w:szCs w:val="32"/>
                <w:lang w:val="zh-TW" w:eastAsia="zh-TW" w:bidi="ar-SA"/>
              </w:rPr>
              <w:t>尤溪县智慧应急能力提升项目。</w:t>
            </w:r>
            <w:r>
              <w:rPr>
                <w:rFonts w:hint="eastAsia" w:ascii="仿宋_GB2312" w:hAnsi="仿宋_GB2312" w:eastAsia="仿宋_GB2312" w:cs="仿宋_GB2312"/>
                <w:kern w:val="2"/>
                <w:sz w:val="32"/>
                <w:szCs w:val="32"/>
                <w:lang w:val="zh-TW" w:eastAsia="zh-TW" w:bidi="ar-SA"/>
              </w:rPr>
              <w:t>推进乡镇应急消防管理站规范化建设，完善县级指挥部调度指挥、会商研判等设施设备和系统，推进无人机空地一体化体系建设</w:t>
            </w:r>
            <w:r>
              <w:rPr>
                <w:rFonts w:hint="eastAsia" w:ascii="仿宋_GB2312" w:hAnsi="仿宋_GB2312" w:eastAsia="仿宋_GB2312" w:cs="仿宋_GB2312"/>
                <w:kern w:val="2"/>
                <w:sz w:val="32"/>
                <w:szCs w:val="32"/>
                <w:lang w:val="zh-TW" w:eastAsia="zh-CN" w:bidi="ar-SA"/>
              </w:rPr>
              <w:t>，</w:t>
            </w:r>
            <w:r>
              <w:rPr>
                <w:rFonts w:hint="eastAsia" w:ascii="仿宋_GB2312" w:hAnsi="仿宋_GB2312" w:eastAsia="仿宋_GB2312" w:cs="仿宋_GB2312"/>
                <w:kern w:val="2"/>
                <w:sz w:val="32"/>
                <w:szCs w:val="32"/>
                <w:lang w:val="en-US" w:eastAsia="zh-CN" w:bidi="ar-SA"/>
              </w:rPr>
              <w:t>推动三明（尤溪）新一代天气雷达站项目建设</w:t>
            </w:r>
            <w:r>
              <w:rPr>
                <w:rFonts w:hint="eastAsia" w:ascii="仿宋_GB2312" w:hAnsi="仿宋_GB2312" w:eastAsia="仿宋_GB2312" w:cs="仿宋_GB2312"/>
                <w:kern w:val="2"/>
                <w:sz w:val="32"/>
                <w:szCs w:val="32"/>
                <w:lang w:val="zh-TW" w:eastAsia="zh-TW"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zh-TW" w:eastAsia="zh-TW" w:bidi="ar-SA"/>
              </w:rPr>
            </w:pPr>
            <w:r>
              <w:rPr>
                <w:rFonts w:hint="eastAsia" w:ascii="仿宋_GB2312" w:hAnsi="仿宋_GB2312" w:eastAsia="仿宋_GB2312" w:cs="仿宋_GB2312"/>
                <w:b/>
                <w:bCs/>
                <w:kern w:val="2"/>
                <w:sz w:val="32"/>
                <w:szCs w:val="32"/>
                <w:lang w:val="zh-TW" w:eastAsia="zh-TW" w:bidi="ar-SA"/>
              </w:rPr>
              <w:t>尤溪县三级综合应急物资保障体系建设项目。</w:t>
            </w:r>
            <w:r>
              <w:rPr>
                <w:rFonts w:hint="eastAsia" w:ascii="仿宋_GB2312" w:hAnsi="仿宋_GB2312" w:eastAsia="仿宋_GB2312" w:cs="仿宋_GB2312"/>
                <w:kern w:val="2"/>
                <w:sz w:val="32"/>
                <w:szCs w:val="32"/>
                <w:lang w:val="zh-TW" w:eastAsia="zh-TW" w:bidi="ar-SA"/>
              </w:rPr>
              <w:t>改扩建县级</w:t>
            </w:r>
            <w:r>
              <w:rPr>
                <w:rFonts w:hint="eastAsia" w:ascii="仿宋_GB2312" w:hAnsi="仿宋_GB2312" w:eastAsia="仿宋_GB2312" w:cs="仿宋_GB2312"/>
                <w:kern w:val="2"/>
                <w:sz w:val="32"/>
                <w:szCs w:val="32"/>
                <w:lang w:val="en-US" w:eastAsia="zh-CN" w:bidi="ar-SA"/>
              </w:rPr>
              <w:t>数字</w:t>
            </w:r>
            <w:r>
              <w:rPr>
                <w:rFonts w:hint="eastAsia" w:ascii="仿宋_GB2312" w:hAnsi="仿宋_GB2312" w:eastAsia="仿宋_GB2312" w:cs="仿宋_GB2312"/>
                <w:kern w:val="2"/>
                <w:sz w:val="32"/>
                <w:szCs w:val="32"/>
                <w:lang w:val="zh-TW" w:eastAsia="zh-TW" w:bidi="ar-SA"/>
              </w:rPr>
              <w:t>化综合应急物资储备库以及15个乡镇级储备库、完善271个村（居）储备室，构建县</w:t>
            </w:r>
            <w:r>
              <w:rPr>
                <w:rFonts w:hint="eastAsia" w:ascii="仿宋_GB2312" w:hAnsi="仿宋_GB2312" w:eastAsia="仿宋_GB2312" w:cs="仿宋_GB2312"/>
                <w:kern w:val="2"/>
                <w:sz w:val="32"/>
                <w:szCs w:val="32"/>
                <w:lang w:val="zh-TW" w:eastAsia="zh-CN" w:bidi="ar-SA"/>
              </w:rPr>
              <w:t>—</w:t>
            </w:r>
            <w:r>
              <w:rPr>
                <w:rFonts w:hint="eastAsia" w:ascii="仿宋_GB2312" w:hAnsi="仿宋_GB2312" w:eastAsia="仿宋_GB2312" w:cs="仿宋_GB2312"/>
                <w:kern w:val="2"/>
                <w:sz w:val="32"/>
                <w:szCs w:val="32"/>
                <w:lang w:val="zh-TW" w:eastAsia="zh-TW" w:bidi="ar-SA"/>
              </w:rPr>
              <w:t>乡</w:t>
            </w:r>
            <w:r>
              <w:rPr>
                <w:rFonts w:hint="eastAsia" w:ascii="仿宋_GB2312" w:hAnsi="仿宋_GB2312" w:eastAsia="仿宋_GB2312" w:cs="仿宋_GB2312"/>
                <w:kern w:val="2"/>
                <w:sz w:val="32"/>
                <w:szCs w:val="32"/>
                <w:lang w:val="zh-TW" w:eastAsia="zh-CN" w:bidi="ar-SA"/>
              </w:rPr>
              <w:t>—</w:t>
            </w:r>
            <w:r>
              <w:rPr>
                <w:rFonts w:hint="eastAsia" w:ascii="仿宋_GB2312" w:hAnsi="仿宋_GB2312" w:eastAsia="仿宋_GB2312" w:cs="仿宋_GB2312"/>
                <w:kern w:val="2"/>
                <w:sz w:val="32"/>
                <w:szCs w:val="32"/>
                <w:lang w:val="zh-TW" w:eastAsia="zh-TW" w:bidi="ar-SA"/>
              </w:rPr>
              <w:t>村立体化物资保障网络。</w:t>
            </w:r>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zh-TW" w:eastAsia="zh-TW" w:bidi="ar-SA"/>
              </w:rPr>
            </w:pPr>
            <w:r>
              <w:rPr>
                <w:rFonts w:hint="eastAsia" w:ascii="仿宋_GB2312" w:hAnsi="仿宋_GB2312" w:eastAsia="仿宋_GB2312" w:cs="仿宋_GB2312"/>
                <w:b/>
                <w:bCs/>
                <w:kern w:val="2"/>
                <w:sz w:val="32"/>
                <w:szCs w:val="32"/>
                <w:lang w:val="zh-TW" w:eastAsia="zh-TW" w:bidi="ar-SA"/>
              </w:rPr>
              <w:t>尤溪县森林防灭火能力提升项目。</w:t>
            </w:r>
            <w:r>
              <w:rPr>
                <w:rFonts w:hint="eastAsia" w:ascii="仿宋_GB2312" w:hAnsi="仿宋_GB2312" w:eastAsia="仿宋_GB2312" w:cs="仿宋_GB2312"/>
                <w:kern w:val="2"/>
                <w:sz w:val="32"/>
                <w:szCs w:val="32"/>
                <w:lang w:val="zh-TW" w:eastAsia="zh-TW" w:bidi="ar-SA"/>
              </w:rPr>
              <w:t>强化森林火灾以水灭火能力，全县新建150个消防蓄水池和85处天然水源取水点，形成</w:t>
            </w:r>
            <w:r>
              <w:rPr>
                <w:rFonts w:hint="eastAsia" w:ascii="仿宋_GB2312" w:hAnsi="仿宋_GB2312" w:eastAsia="仿宋_GB2312" w:cs="仿宋_GB2312"/>
                <w:kern w:val="2"/>
                <w:sz w:val="32"/>
                <w:szCs w:val="32"/>
                <w:lang w:val="zh-TW" w:eastAsia="zh-CN" w:bidi="ar-SA"/>
              </w:rPr>
              <w:t>“</w:t>
            </w:r>
            <w:r>
              <w:rPr>
                <w:rFonts w:hint="eastAsia" w:ascii="仿宋_GB2312" w:hAnsi="仿宋_GB2312" w:eastAsia="仿宋_GB2312" w:cs="仿宋_GB2312"/>
                <w:kern w:val="2"/>
                <w:sz w:val="32"/>
                <w:szCs w:val="32"/>
                <w:lang w:val="zh-TW" w:eastAsia="zh-TW" w:bidi="ar-SA"/>
              </w:rPr>
              <w:t>人工水源+天然水源</w:t>
            </w:r>
            <w:r>
              <w:rPr>
                <w:rFonts w:hint="eastAsia" w:ascii="仿宋_GB2312" w:hAnsi="仿宋_GB2312" w:eastAsia="仿宋_GB2312" w:cs="仿宋_GB2312"/>
                <w:kern w:val="2"/>
                <w:sz w:val="32"/>
                <w:szCs w:val="32"/>
                <w:lang w:val="zh-TW" w:eastAsia="zh-CN" w:bidi="ar-SA"/>
              </w:rPr>
              <w:t>”</w:t>
            </w:r>
            <w:r>
              <w:rPr>
                <w:rFonts w:hint="eastAsia" w:ascii="仿宋_GB2312" w:hAnsi="仿宋_GB2312" w:eastAsia="仿宋_GB2312" w:cs="仿宋_GB2312"/>
                <w:kern w:val="2"/>
                <w:sz w:val="32"/>
                <w:szCs w:val="32"/>
                <w:lang w:val="zh-TW" w:eastAsia="zh-TW" w:bidi="ar-SA"/>
              </w:rPr>
              <w:t>互补的供水网络，确保灭火水源充足、取用便捷，提升森林火灾扑救效率与作业安全性。</w:t>
            </w:r>
          </w:p>
          <w:p>
            <w:pPr>
              <w:keepNext w:val="0"/>
              <w:keepLines w:val="0"/>
              <w:pageBreakBefore w:val="0"/>
              <w:widowControl w:val="0"/>
              <w:kinsoku/>
              <w:wordWrap/>
              <w:overflowPunct w:val="0"/>
              <w:topLinePunct w:val="0"/>
              <w:autoSpaceDE/>
              <w:autoSpaceDN/>
              <w:bidi w:val="0"/>
              <w:adjustRightInd/>
              <w:snapToGrid/>
              <w:spacing w:line="560" w:lineRule="exact"/>
              <w:ind w:firstLine="562"/>
              <w:textAlignment w:val="auto"/>
              <w:rPr>
                <w:rFonts w:hint="default" w:ascii="Times New Roman" w:hAnsi="Times New Roman" w:cs="Times New Roman"/>
                <w:color w:val="auto"/>
                <w:highlight w:val="none"/>
                <w:lang w:val="zh-TW" w:eastAsia="zh-TW"/>
              </w:rPr>
            </w:pPr>
            <w:r>
              <w:rPr>
                <w:rFonts w:hint="eastAsia" w:ascii="仿宋_GB2312" w:hAnsi="仿宋_GB2312" w:eastAsia="仿宋_GB2312" w:cs="仿宋_GB2312"/>
                <w:b/>
                <w:bCs/>
                <w:kern w:val="2"/>
                <w:sz w:val="32"/>
                <w:szCs w:val="32"/>
                <w:lang w:val="en-US" w:eastAsia="zh-CN" w:bidi="ar-SA"/>
              </w:rPr>
              <w:t>尤溪县公安局业务技术用房项目。</w:t>
            </w:r>
            <w:r>
              <w:rPr>
                <w:rFonts w:hint="eastAsia" w:ascii="仿宋_GB2312" w:hAnsi="仿宋_GB2312" w:eastAsia="仿宋_GB2312" w:cs="仿宋_GB2312"/>
                <w:kern w:val="2"/>
                <w:sz w:val="32"/>
                <w:szCs w:val="32"/>
                <w:lang w:val="en-US" w:eastAsia="zh-CN" w:bidi="ar-SA"/>
              </w:rPr>
              <w:t>建设由房屋建筑、建筑设备和场地三部分组成的公安局业务技术用房。</w:t>
            </w:r>
          </w:p>
        </w:tc>
      </w:tr>
    </w:tbl>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仿宋_GB2312" w:cs="仿宋_GB2312"/>
          <w:color w:val="auto"/>
          <w:szCs w:val="32"/>
          <w:highlight w:val="none"/>
        </w:rPr>
      </w:pPr>
      <w:bookmarkStart w:id="288" w:name="_Toc8596"/>
      <w:bookmarkStart w:id="289" w:name="_Toc21162"/>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ind w:firstLine="0" w:firstLineChars="0"/>
        <w:jc w:val="center"/>
        <w:textAlignment w:val="auto"/>
        <w:outlineLvl w:val="0"/>
        <w:rPr>
          <w:rFonts w:hint="eastAsia" w:ascii="方正小标宋简体" w:hAnsi="方正小标宋简体" w:eastAsia="方正小标宋简体" w:cs="方正小标宋简体"/>
          <w:color w:val="auto"/>
          <w:szCs w:val="32"/>
          <w:highlight w:val="none"/>
        </w:rPr>
      </w:pPr>
      <w:r>
        <w:rPr>
          <w:rFonts w:hint="eastAsia" w:ascii="方正小标宋简体" w:hAnsi="方正小标宋简体" w:eastAsia="方正小标宋简体" w:cs="方正小标宋简体"/>
          <w:color w:val="auto"/>
          <w:szCs w:val="32"/>
          <w:highlight w:val="none"/>
        </w:rPr>
        <w:t>第十五章 健全规划实施保障措施，为实现目标任务踔厉奋发</w:t>
      </w:r>
      <w:bookmarkEnd w:id="288"/>
      <w:bookmarkEnd w:id="289"/>
    </w:p>
    <w:p>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kern w:val="2"/>
          <w:sz w:val="32"/>
          <w:szCs w:val="32"/>
          <w:lang w:val="zh-TW" w:eastAsia="zh-TW" w:bidi="ar-SA"/>
        </w:rPr>
      </w:pPr>
      <w:r>
        <w:rPr>
          <w:rFonts w:hint="eastAsia" w:ascii="仿宋_GB2312" w:hAnsi="仿宋_GB2312" w:eastAsia="仿宋_GB2312" w:cs="仿宋_GB2312"/>
          <w:kern w:val="2"/>
          <w:sz w:val="32"/>
          <w:szCs w:val="32"/>
          <w:lang w:val="zh-TW" w:eastAsia="zh-TW" w:bidi="ar-SA"/>
        </w:rPr>
        <w:t>为保障《尤溪县国民经济和社会发展第十五个五年规划纲要》有效实施，必须全面加强党的领导，强化组织协调、健全实施机制、加强评估监督，构建系统完备、科学规范、运行高效的规划实施保障体系，确保各项目标任务如期完成。</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snapToGrid w:val="0"/>
          <w:color w:val="auto"/>
          <w:szCs w:val="32"/>
          <w:highlight w:val="none"/>
        </w:rPr>
      </w:pPr>
      <w:bookmarkStart w:id="290" w:name="_Toc12859"/>
      <w:r>
        <w:rPr>
          <w:rFonts w:hint="default" w:ascii="黑体" w:hAnsi="黑体" w:eastAsia="黑体" w:cs="黑体"/>
          <w:b w:val="0"/>
          <w:bCs/>
          <w:snapToGrid w:val="0"/>
          <w:color w:val="auto"/>
          <w:szCs w:val="32"/>
          <w:highlight w:val="none"/>
        </w:rPr>
        <w:t>第一节 强化组织协调领导</w:t>
      </w:r>
      <w:bookmarkEnd w:id="290"/>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坚持党的集中统一领导。</w:t>
      </w:r>
      <w:r>
        <w:rPr>
          <w:rFonts w:hint="default" w:ascii="仿宋_GB2312" w:hAnsi="仿宋_GB2312" w:eastAsia="仿宋_GB2312" w:cs="仿宋_GB2312"/>
          <w:kern w:val="2"/>
          <w:sz w:val="32"/>
          <w:szCs w:val="32"/>
          <w:lang w:val="zh-TW" w:eastAsia="zh-TW" w:bidi="ar-SA"/>
        </w:rPr>
        <w:t>充分发挥党总揽全局、协调各方的领导核心作用，坚持完善党领导经济社会发展工作的体制机制，将党的领导始终贯穿“十五五”规划实施各领域全过程。完善党委研究经济社会发展战略、定期分析经济形势、研究重大方针政策的工作机制，提高决策科学化、民主化、法治化水平。充分发挥基层党组织战斗堡垒作用和党员先锋模范作用，引导广大党员干部在规划实施中担当作为。</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强化组织领导体系。</w:t>
      </w:r>
      <w:r>
        <w:rPr>
          <w:rFonts w:hint="default" w:ascii="仿宋_GB2312" w:hAnsi="仿宋_GB2312" w:eastAsia="仿宋_GB2312" w:cs="仿宋_GB2312"/>
          <w:kern w:val="2"/>
          <w:sz w:val="32"/>
          <w:szCs w:val="32"/>
          <w:lang w:val="zh-TW" w:eastAsia="zh-TW" w:bidi="ar-SA"/>
        </w:rPr>
        <w:t>成立由县委、县政府主要领导负责的规划实施工作领导小组，统筹协调规划实施中的重大事项。各乡镇、各部门要结合实际制定具体实施方案，明确责任分工和进度要求，形成层层抓落实的工作格局。建立规划实施协调机制，加强部门间政策协调和工作协同，避免政策冲突和资源分散。</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完善决策咨询机制。</w:t>
      </w:r>
      <w:r>
        <w:rPr>
          <w:rFonts w:hint="default" w:ascii="仿宋_GB2312" w:hAnsi="仿宋_GB2312" w:eastAsia="仿宋_GB2312" w:cs="仿宋_GB2312"/>
          <w:kern w:val="2"/>
          <w:sz w:val="32"/>
          <w:szCs w:val="32"/>
          <w:lang w:val="zh-TW" w:eastAsia="zh-TW" w:bidi="ar-SA"/>
        </w:rPr>
        <w:t>依托县内外高校、科研院所和智库机构，对规划实施中的重大问题提供决策咨询，广泛听取人大代表、政协委员，社会各界人士和公众的意见建议。</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91" w:name="_Toc17662"/>
      <w:r>
        <w:rPr>
          <w:rFonts w:hint="default" w:ascii="黑体" w:hAnsi="黑体" w:eastAsia="黑体" w:cs="黑体"/>
          <w:b w:val="0"/>
          <w:bCs/>
          <w:snapToGrid w:val="0"/>
          <w:color w:val="auto"/>
          <w:szCs w:val="32"/>
          <w:highlight w:val="none"/>
        </w:rPr>
        <w:t>第二节 健全规划实施机制</w:t>
      </w:r>
      <w:bookmarkEnd w:id="291"/>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细化分解目标任务。</w:t>
      </w:r>
      <w:r>
        <w:rPr>
          <w:rFonts w:hint="default" w:ascii="仿宋_GB2312" w:hAnsi="仿宋_GB2312" w:eastAsia="仿宋_GB2312" w:cs="仿宋_GB2312"/>
          <w:kern w:val="2"/>
          <w:sz w:val="32"/>
          <w:szCs w:val="32"/>
          <w:lang w:val="zh-TW" w:eastAsia="zh-TW" w:bidi="ar-SA"/>
        </w:rPr>
        <w:t>制定规划实施方案，将规划确定的发展目标、重点任务和重大项目分解到各乡镇、各部门和年度计划中，明确责任主体、时间表和路线图。建立规划目标任务台账管理制度，实行清单化、项目化推进。</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加强年度计划衔接。</w:t>
      </w:r>
      <w:r>
        <w:rPr>
          <w:rFonts w:hint="default" w:ascii="仿宋_GB2312" w:hAnsi="仿宋_GB2312" w:eastAsia="仿宋_GB2312" w:cs="仿宋_GB2312"/>
          <w:kern w:val="2"/>
          <w:sz w:val="32"/>
          <w:szCs w:val="32"/>
          <w:lang w:val="zh-TW" w:eastAsia="zh-TW" w:bidi="ar-SA"/>
        </w:rPr>
        <w:t>建立健全空间规划、专项规划与发展规划的衔接协调机制，确保各级各类规划协调一致。年度计划要贯彻落实规划提出的目标和任务，设置年度目标并做好年度间的综合平衡。完善年度计划编制和实施机制，确保年度计划与规划纲要紧密衔接。</w:t>
      </w:r>
    </w:p>
    <w:p>
      <w:pPr>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健全重大项目推进机制。</w:t>
      </w:r>
      <w:r>
        <w:rPr>
          <w:rFonts w:hint="default" w:ascii="仿宋_GB2312" w:hAnsi="仿宋_GB2312" w:eastAsia="仿宋_GB2312" w:cs="仿宋_GB2312"/>
          <w:kern w:val="2"/>
          <w:sz w:val="32"/>
          <w:szCs w:val="32"/>
          <w:lang w:val="zh-TW" w:eastAsia="zh-TW" w:bidi="ar-SA"/>
        </w:rPr>
        <w:t>建立“十五五”规划重大项目库，实行规划项目全过程管理。完善县领导挂钩联系重大项目制度，协调解决项目推进中的用地、用林、用能、环境容量、资金等要素保障问题。</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zh-TW" w:eastAsia="zh-TW"/>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zh-TW" w:eastAsia="zh-TW"/>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92" w:name="_Toc25212"/>
      <w:r>
        <w:rPr>
          <w:rFonts w:hint="default" w:ascii="黑体" w:hAnsi="黑体" w:eastAsia="黑体" w:cs="黑体"/>
          <w:b w:val="0"/>
          <w:bCs/>
          <w:snapToGrid w:val="0"/>
          <w:color w:val="auto"/>
          <w:szCs w:val="32"/>
          <w:highlight w:val="none"/>
        </w:rPr>
        <w:t>第三节 完善要素保障支撑</w:t>
      </w:r>
      <w:bookmarkEnd w:id="292"/>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加强财政资源保障。</w:t>
      </w:r>
      <w:r>
        <w:rPr>
          <w:rFonts w:hint="default" w:ascii="仿宋_GB2312" w:hAnsi="仿宋_GB2312" w:eastAsia="仿宋_GB2312" w:cs="仿宋_GB2312"/>
          <w:kern w:val="2"/>
          <w:sz w:val="32"/>
          <w:szCs w:val="32"/>
          <w:lang w:val="zh-TW" w:eastAsia="zh-TW" w:bidi="ar-SA"/>
        </w:rPr>
        <w:t>优化财政支出结构，优先保障规划确定的重大战略、重大任务和重大工程项目。积极争取中央预算内投资、省级专项资金和地方政府债券资金支持。完善财政资金统筹整合机制，提高资金使用效益。</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强化金融支持服务。</w:t>
      </w:r>
      <w:r>
        <w:rPr>
          <w:rFonts w:hint="default" w:ascii="仿宋_GB2312" w:hAnsi="仿宋_GB2312" w:eastAsia="仿宋_GB2312" w:cs="仿宋_GB2312"/>
          <w:kern w:val="2"/>
          <w:sz w:val="32"/>
          <w:szCs w:val="32"/>
          <w:lang w:val="zh-TW" w:eastAsia="zh-TW" w:bidi="ar-SA"/>
        </w:rPr>
        <w:t>鼓励金融机构创新金融产品和服务，加大对规划重点领域和重大项目的信贷支持力度。发挥产业基金引导作用，撬动更多社会资本参与规划实施。支持符合条件的企业通过多层次资本市场融资。</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保障土地资源供给。</w:t>
      </w:r>
      <w:r>
        <w:rPr>
          <w:rFonts w:hint="default" w:ascii="仿宋_GB2312" w:hAnsi="仿宋_GB2312" w:eastAsia="仿宋_GB2312" w:cs="仿宋_GB2312"/>
          <w:kern w:val="2"/>
          <w:sz w:val="32"/>
          <w:szCs w:val="32"/>
          <w:lang w:val="zh-TW" w:eastAsia="zh-TW" w:bidi="ar-SA"/>
        </w:rPr>
        <w:t>坚持“土地要素跟着项目走”，优先保障规划重大项目和重点产业用地需求。推进城镇低效用地再开发和农村建设用地复垦，盘活存量建设用地。探索不同产业用地类型合理转换机制，提高土地资源配置效率。</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强化人才智力支撑。</w:t>
      </w:r>
      <w:r>
        <w:rPr>
          <w:rFonts w:hint="default" w:ascii="仿宋_GB2312" w:hAnsi="仿宋_GB2312" w:eastAsia="仿宋_GB2312" w:cs="仿宋_GB2312"/>
          <w:kern w:val="2"/>
          <w:sz w:val="32"/>
          <w:szCs w:val="32"/>
          <w:lang w:val="zh-TW" w:eastAsia="zh-TW" w:bidi="ar-SA"/>
        </w:rPr>
        <w:t>实施更加开放有效的人才政策，引进培育规划实施所需的各类人才。完善人才服务保障体系，营造有利于人才创新创业的良好环境。加强与高校、科研院所合作，为规划实施提供智力支持。</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93" w:name="_Toc23774"/>
      <w:r>
        <w:rPr>
          <w:rFonts w:hint="default" w:ascii="黑体" w:hAnsi="黑体" w:eastAsia="黑体" w:cs="黑体"/>
          <w:b w:val="0"/>
          <w:bCs/>
          <w:snapToGrid w:val="0"/>
          <w:color w:val="auto"/>
          <w:szCs w:val="32"/>
          <w:highlight w:val="none"/>
        </w:rPr>
        <w:t>第四节 强化监测评估监督</w:t>
      </w:r>
      <w:bookmarkEnd w:id="293"/>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健全监测评估体系。</w:t>
      </w:r>
      <w:r>
        <w:rPr>
          <w:rFonts w:hint="default" w:ascii="仿宋_GB2312" w:hAnsi="仿宋_GB2312" w:eastAsia="仿宋_GB2312" w:cs="仿宋_GB2312"/>
          <w:kern w:val="2"/>
          <w:sz w:val="32"/>
          <w:szCs w:val="32"/>
          <w:lang w:val="zh-TW" w:eastAsia="zh-TW" w:bidi="ar-SA"/>
        </w:rPr>
        <w:t>建立规划实施监测评估机制，定期对规划目标、重点任务和重大项目的实施情况进行跟踪监测。引入第三方机构开展规划中期和终期评估，客观评价规划实施效果。</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完善动态调整机制。</w:t>
      </w:r>
      <w:r>
        <w:rPr>
          <w:rFonts w:hint="default" w:ascii="仿宋_GB2312" w:hAnsi="仿宋_GB2312" w:eastAsia="仿宋_GB2312" w:cs="仿宋_GB2312"/>
          <w:kern w:val="2"/>
          <w:sz w:val="32"/>
          <w:szCs w:val="32"/>
          <w:lang w:val="zh-TW" w:eastAsia="zh-TW" w:bidi="ar-SA"/>
        </w:rPr>
        <w:t>根据监测评估结果和环境变化，按照法定程序对规划进行适当调整。确需调整时，由县政府提出调整方案，报县人大常委会审查批准。</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强化实施监督考核。</w:t>
      </w:r>
      <w:r>
        <w:rPr>
          <w:rFonts w:hint="default" w:ascii="仿宋_GB2312" w:hAnsi="仿宋_GB2312" w:eastAsia="仿宋_GB2312" w:cs="仿宋_GB2312"/>
          <w:kern w:val="2"/>
          <w:sz w:val="32"/>
          <w:szCs w:val="32"/>
          <w:lang w:val="zh-TW" w:eastAsia="zh-TW" w:bidi="ar-SA"/>
        </w:rPr>
        <w:t>将规划实施情况纳入各乡镇、各部门绩效考核体系，考核结果作为领导干部综合评价的重要内容。依法向县人大常委会报告规划实施情况，自觉接受人大监督、政协民主监督和社会舆论监督。</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default" w:ascii="黑体" w:hAnsi="黑体" w:eastAsia="黑体" w:cs="黑体"/>
          <w:b w:val="0"/>
          <w:bCs/>
          <w:snapToGrid w:val="0"/>
          <w:color w:val="auto"/>
          <w:szCs w:val="32"/>
          <w:highlight w:val="none"/>
        </w:rPr>
      </w:pPr>
      <w:bookmarkStart w:id="294" w:name="_Toc14489"/>
      <w:r>
        <w:rPr>
          <w:rFonts w:hint="default" w:ascii="黑体" w:hAnsi="黑体" w:eastAsia="黑体" w:cs="黑体"/>
          <w:b w:val="0"/>
          <w:bCs/>
          <w:snapToGrid w:val="0"/>
          <w:color w:val="auto"/>
          <w:szCs w:val="32"/>
          <w:highlight w:val="none"/>
        </w:rPr>
        <w:t>第五节 充分调动社会参与</w:t>
      </w:r>
      <w:bookmarkEnd w:id="294"/>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加强规划宣传解读。</w:t>
      </w:r>
      <w:r>
        <w:rPr>
          <w:rFonts w:hint="default" w:ascii="仿宋_GB2312" w:hAnsi="仿宋_GB2312" w:eastAsia="仿宋_GB2312" w:cs="仿宋_GB2312"/>
          <w:kern w:val="2"/>
          <w:sz w:val="32"/>
          <w:szCs w:val="32"/>
          <w:lang w:val="zh-TW" w:eastAsia="zh-TW" w:bidi="ar-SA"/>
        </w:rPr>
        <w:t>多渠道、多形式开展规划宣传解读工作，让广大干部群众了解规划、认知规划、参与规划实施。及时公布规划实施进展情况，回应社会关切，营造全社会共同参与规划实施的良好氛围。</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构建社会参与平台。</w:t>
      </w:r>
      <w:r>
        <w:rPr>
          <w:rFonts w:hint="default" w:ascii="仿宋_GB2312" w:hAnsi="仿宋_GB2312" w:eastAsia="仿宋_GB2312" w:cs="仿宋_GB2312"/>
          <w:kern w:val="2"/>
          <w:sz w:val="32"/>
          <w:szCs w:val="32"/>
          <w:lang w:val="zh-TW" w:eastAsia="zh-TW" w:bidi="ar-SA"/>
        </w:rPr>
        <w:t>搭建政府、企业、社会组织和公众之间的沟通平台，广泛听取社会各界对规划实施的意见建议。鼓励企业、社会组织和个人以各种形式参与规划实施。</w:t>
      </w:r>
    </w:p>
    <w:p>
      <w:pPr>
        <w:keepNext w:val="0"/>
        <w:keepLines w:val="0"/>
        <w:pageBreakBefore w:val="0"/>
        <w:widowControl w:val="0"/>
        <w:kinsoku/>
        <w:wordWrap/>
        <w:overflowPunct/>
        <w:topLinePunct w:val="0"/>
        <w:autoSpaceDE/>
        <w:autoSpaceDN/>
        <w:bidi w:val="0"/>
        <w:adjustRightInd/>
        <w:spacing w:line="560" w:lineRule="exact"/>
        <w:ind w:firstLine="643"/>
        <w:textAlignment w:val="auto"/>
        <w:rPr>
          <w:rFonts w:hint="default" w:ascii="仿宋_GB2312" w:hAnsi="仿宋_GB2312" w:eastAsia="仿宋_GB2312" w:cs="仿宋_GB2312"/>
          <w:kern w:val="2"/>
          <w:sz w:val="32"/>
          <w:szCs w:val="32"/>
          <w:lang w:val="zh-TW" w:eastAsia="zh-TW" w:bidi="ar-SA"/>
        </w:rPr>
      </w:pPr>
      <w:r>
        <w:rPr>
          <w:rFonts w:hint="default" w:ascii="楷体_GB2312" w:hAnsi="楷体_GB2312" w:eastAsia="楷体_GB2312" w:cs="楷体_GB2312"/>
          <w:b/>
          <w:bCs/>
          <w:kern w:val="2"/>
          <w:sz w:val="32"/>
          <w:szCs w:val="32"/>
          <w:lang w:val="en-US" w:eastAsia="zh-CN" w:bidi="ar-SA"/>
        </w:rPr>
        <w:t>发挥市场主体作用与人民主人翁精神。</w:t>
      </w:r>
      <w:r>
        <w:rPr>
          <w:rFonts w:hint="default" w:ascii="仿宋_GB2312" w:hAnsi="仿宋_GB2312" w:eastAsia="仿宋_GB2312" w:cs="仿宋_GB2312"/>
          <w:kern w:val="2"/>
          <w:sz w:val="32"/>
          <w:szCs w:val="32"/>
          <w:lang w:val="zh-TW" w:eastAsia="zh-TW" w:bidi="ar-SA"/>
        </w:rPr>
        <w:t>充分发挥企业在市场经济中的主体作用和创新主体作用，激发市场主体活力。鼓励公众通过多种方式参与规划实施和监督，支持社会组织参与公共服务供给和社会治理。</w:t>
      </w:r>
    </w:p>
    <w:p>
      <w:pPr>
        <w:keepNext w:val="0"/>
        <w:keepLines w:val="0"/>
        <w:pageBreakBefore w:val="0"/>
        <w:widowControl w:val="0"/>
        <w:kinsoku/>
        <w:wordWrap/>
        <w:overflowPunct/>
        <w:topLinePunct w:val="0"/>
        <w:autoSpaceDE/>
        <w:autoSpaceDN/>
        <w:bidi w:val="0"/>
        <w:adjustRightInd/>
        <w:snapToGrid/>
        <w:spacing w:line="560" w:lineRule="exact"/>
        <w:ind w:right="320" w:rightChars="100"/>
        <w:jc w:val="left"/>
        <w:textAlignment w:val="auto"/>
        <w:rPr>
          <w:rFonts w:hint="default" w:ascii="仿宋_GB2312" w:hAnsi="仿宋_GB2312" w:eastAsia="仿宋_GB2312" w:cs="仿宋_GB2312"/>
          <w:kern w:val="2"/>
          <w:sz w:val="28"/>
          <w:szCs w:val="28"/>
          <w:lang w:val="zh-TW" w:eastAsia="zh-TW" w:bidi="ar-SA"/>
        </w:rPr>
      </w:pPr>
      <w:r>
        <w:rPr>
          <w:rFonts w:hint="default" w:ascii="仿宋_GB2312" w:hAnsi="仿宋_GB2312" w:eastAsia="仿宋_GB2312" w:cs="仿宋_GB2312"/>
          <w:kern w:val="2"/>
          <w:sz w:val="32"/>
          <w:szCs w:val="32"/>
          <w:lang w:val="zh-TW" w:eastAsia="zh-TW" w:bidi="ar-SA"/>
        </w:rPr>
        <w:t>本规划是指导尤溪县未来五年发展的行动纲领。全县人民要更加紧密地团结起来，在县委、县政府的坚强领导下，凝心聚力，锐意进取，扎实工作，为顺利完成“十五五”规划目标任务、全面建设社会主义现代化尤溪而努力奋斗！</w:t>
      </w:r>
    </w:p>
    <w:sectPr>
      <w:pgSz w:w="11906" w:h="16838"/>
      <w:pgMar w:top="1928" w:right="1531" w:bottom="1757" w:left="1531" w:header="850" w:footer="1134" w:gutter="0"/>
      <w:pgNumType w:fmt="decimal" w:start="1"/>
      <w:cols w:space="0" w:num="1"/>
      <w:rtlGutter w:val="0"/>
      <w:docGrid w:type="lines" w:linePitch="43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Bahnschrift SemiLight SemiConde">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Liberation Serif">
    <w:panose1 w:val="02020603050405020304"/>
    <w:charset w:val="00"/>
    <w:family w:val="auto"/>
    <w:pitch w:val="default"/>
    <w:sig w:usb0="A00002AF" w:usb1="500078FB" w:usb2="00000000" w:usb3="00000000" w:csb0="6000009F" w:csb1="DFD70000"/>
  </w:font>
  <w:font w:name="Droid Sans Fallback">
    <w:panose1 w:val="020B0502000000000001"/>
    <w:charset w:val="86"/>
    <w:family w:val="auto"/>
    <w:pitch w:val="default"/>
    <w:sig w:usb0="910002FF" w:usb1="2BDFFCFB" w:usb2="00000036" w:usb3="00000000" w:csb0="203F01FF"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仿宋"/>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DNk9CdMwIAAGMEAAAOAAAAAAAAAAEAIAAA&#10;ADUBAABkcnMvZTJvRG9jLnhtbFBLBQYAAAAABgAGAFkBAADaBQAAAAA=&#10;">
              <v:fill on="f" focussize="0,0"/>
              <v:stroke on="f" weight="0.5pt"/>
              <v:imagedata o:title=""/>
              <o:lock v:ext="edit" aspectratio="f"/>
              <v:textbox inset="0mm,0mm,0mm,0mm" style="mso-fit-shape-to-text:t;">
                <w:txbxContent>
                  <w:p>
                    <w:pPr>
                      <w:pStyle w:val="11"/>
                      <w:rPr>
                        <w:rFonts w:hint="eastAsia" w:eastAsia="仿宋"/>
                        <w:lang w:eastAsia="zh-CN"/>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2350770</wp:posOffset>
              </wp:positionH>
              <wp:positionV relativeFrom="paragraph">
                <wp:posOffset>-4445</wp:posOffset>
              </wp:positionV>
              <wp:extent cx="338455" cy="15557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338455" cy="155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firstLine="36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85.1pt;margin-top:-0.35pt;height:12.25pt;width:26.65pt;mso-position-horizontal-relative:margin;z-index:251659264;mso-width-relative:page;mso-height-relative:page;" filled="f" stroked="f" coordsize="21600,21600" o:gfxdata="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D1F1VJ2AAAAAgBAAAPAAAAAAAAAAEA&#10;IAAAADgAAABkcnMvZG93bnJldi54bWxQSwECFAAUAAAACACHTuJA1wGkizICAABXBAAADgAAAAAA&#10;AAABACAAAAA9AQAAZHJzL2Uyb0RvYy54bWxQSwUGAAAAAAYABgBZAQAA4QUAAAAA&#10;">
              <v:fill on="f" focussize="0,0"/>
              <v:stroke on="f" weight="0.5pt"/>
              <v:imagedata o:title=""/>
              <o:lock v:ext="edit" aspectratio="f"/>
              <v:textbox inset="0mm,0mm,0mm,0mm">
                <w:txbxContent>
                  <w:p>
                    <w:pPr>
                      <w:pStyle w:val="11"/>
                      <w:ind w:firstLine="36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0" w:leftChars="0"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0" w:leftChars="0"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仿宋"/>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1"/>
                      <w:rPr>
                        <w:rFonts w:hint="eastAsia" w:eastAsia="仿宋"/>
                        <w:lang w:eastAsia="zh-CN"/>
                      </w:rPr>
                    </w:pP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margin">
                <wp:posOffset>2350770</wp:posOffset>
              </wp:positionH>
              <wp:positionV relativeFrom="paragraph">
                <wp:posOffset>-4445</wp:posOffset>
              </wp:positionV>
              <wp:extent cx="338455" cy="1555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38455" cy="155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firstLine="36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85.1pt;margin-top:-0.35pt;height:12.25pt;width:26.65pt;mso-position-horizontal-relative:margin;z-index:251669504;mso-width-relative:page;mso-height-relative:page;" filled="f" stroked="f" coordsize="21600,21600" o:gfxdata="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D1F1VJ2AAAAAgBAAAPAAAAAAAAAAEA&#10;IAAAADgAAABkcnMvZG93bnJldi54bWxQSwECFAAUAAAACACHTuJAop2pfzICAABVBAAADgAAAAAA&#10;AAABACAAAAA9AQAAZHJzL2Uyb0RvYy54bWxQSwUGAAAAAAYABgBZAQAA4QUAAAAA&#10;">
              <v:fill on="f" focussize="0,0"/>
              <v:stroke on="f" weight="0.5pt"/>
              <v:imagedata o:title=""/>
              <o:lock v:ext="edit" aspectratio="f"/>
              <v:textbox inset="0mm,0mm,0mm,0mm">
                <w:txbxContent>
                  <w:p>
                    <w:pPr>
                      <w:pStyle w:val="11"/>
                      <w:ind w:firstLine="360"/>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20" w:lef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20" w:lef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CWM0uAMwIAAGMEAAAOAAAAAAAAAAEAIAAA&#10;ADUBAABkcnMvZTJvRG9jLnhtbFBLBQYAAAAABgAGAFkBAADaBQ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2350770</wp:posOffset>
              </wp:positionH>
              <wp:positionV relativeFrom="paragraph">
                <wp:posOffset>-4445</wp:posOffset>
              </wp:positionV>
              <wp:extent cx="338455" cy="15557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338455" cy="155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firstLine="36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85.1pt;margin-top:-0.35pt;height:12.25pt;width:26.65pt;mso-position-horizontal-relative:margin;z-index:251667456;mso-width-relative:page;mso-height-relative:page;" filled="f" stroked="f" coordsize="21600,21600" o:gfxdata="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FgAAAGRycy9QSwECFAAUAAAACACHTuJA9RdVSdgAAAAIAQAADwAAAAAAAAAB&#10;ACAAAAA4AAAAZHJzL2Rvd25yZXYueG1sUEsBAhQAFAAAAAgAh07iQH8VpLgzAgAAVwQAAA4AAAAA&#10;AAAAAQAgAAAAPQEAAGRycy9lMm9Eb2MueG1sUEsFBgAAAAAGAAYAWQEAAOIFAAAAAA==&#10;">
              <v:fill on="f" focussize="0,0"/>
              <v:stroke on="f" weight="0.5pt"/>
              <v:imagedata o:title=""/>
              <o:lock v:ext="edit" aspectratio="f"/>
              <v:textbox inset="0mm,0mm,0mm,0mm">
                <w:txbxContent>
                  <w:p>
                    <w:pPr>
                      <w:pStyle w:val="11"/>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20" w:leftChars="100" w:right="0" w:righ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yfcAMwIAAGMEAAAOAAAAZHJz&#10;L2Uyb0RvYy54bWytVM2O0zAQviPxDpbvNGmBVV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AuyfcAMwIAAGMEAAAOAAAAAAAAAAEAIAAA&#10;ADUBAABkcnMvZTJvRG9jLnhtbFBLBQYAAAAABgAGAFkBAADaBQ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20" w:leftChars="100" w:right="0" w:righ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0" w:leftChars="0"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sYWDvMwIAAGMEAAAOAAAAAAAAAAEAIAAA&#10;ADUBAABkcnMvZTJvRG9jLnhtbFBLBQYAAAAABgAGAFkBAADaBQ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0" w:leftChars="0" w:right="320" w:righ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margin">
                <wp:posOffset>2350770</wp:posOffset>
              </wp:positionH>
              <wp:positionV relativeFrom="paragraph">
                <wp:posOffset>-4445</wp:posOffset>
              </wp:positionV>
              <wp:extent cx="338455" cy="15557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338455" cy="1555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firstLine="36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85.1pt;margin-top:-0.35pt;height:12.25pt;width:26.65pt;mso-position-horizontal-relative:margin;z-index:251668480;mso-width-relative:page;mso-height-relative:page;" filled="f" stroked="f" coordsize="21600,21600" o:gfxdata="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FgAAAGRycy9QSwECFAAUAAAACACHTuJA9RdVSdgAAAAIAQAADwAAAAAAAAAB&#10;ACAAAAA4AAAAZHJzL2Rvd25yZXYueG1sUEsBAhQAFAAAAAgAh07iQDZoyyIzAgAAVwQAAA4AAAAA&#10;AAAAAQAgAAAAPQEAAGRycy9lMm9Eb2MueG1sUEsFBgAAAAAGAAYAWQEAAOIFAAAAAA==&#10;">
              <v:fill on="f" focussize="0,0"/>
              <v:stroke on="f" weight="0.5pt"/>
              <v:imagedata o:title=""/>
              <o:lock v:ext="edit" aspectratio="f"/>
              <v:textbox inset="0mm,0mm,0mm,0mm">
                <w:txbxContent>
                  <w:p>
                    <w:pPr>
                      <w:pStyle w:val="11"/>
                      <w:ind w:firstLine="360"/>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20" w:leftChars="100" w:right="0" w:righ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n6kEMwIAAGMEAAAOAAAAZHJz&#10;L2Uyb0RvYy54bWytVM2O0zAQviPxDpbvNGmBVV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Drn6kEMwIAAGMEAAAOAAAAAAAAAAEAIAAA&#10;ADUBAABkcnMvZTJvRG9jLnhtbFBLBQYAAAAABgAGAFkBAADaBQ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20" w:leftChars="100" w:right="0" w:righ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wordWrap w:val="0"/>
      <w:snapToGrid w:val="0"/>
      <w:jc w:val="right"/>
      <w:rPr>
        <w:rFonts w:ascii="宋体" w:hAnsi="宋体" w:eastAsia="宋体" w:cs="Times New Roman"/>
        <w:kern w:val="2"/>
        <w:sz w:val="28"/>
        <w:szCs w:val="28"/>
        <w:lang w:val="en-US" w:eastAsia="zh-CN" w:bidi="ar-SA"/>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560" w:right="320" w:rightChars="100" w:hanging="560" w:hangingChars="2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9p2MgIAAGMEAAAOAAAAZHJz&#10;L2Uyb0RvYy54bWytVM2O0zAQviPxDpbvNGkRS1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KT72nYyAgAAYwQAAA4AAAAAAAAAAQAgAAAA&#10;NQEAAGRycy9lMm9Eb2MueG1sUEsFBgAAAAAGAAYAWQEAANkFA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560" w:right="320" w:rightChars="100" w:hanging="560" w:hangingChars="2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ind w:firstLine="280" w:firstLineChars="100"/>
      <w:jc w:val="left"/>
      <w:rPr>
        <w:rFonts w:ascii="宋体" w:hAnsi="宋体" w:eastAsia="宋体" w:cs="Times New Roman"/>
        <w:kern w:val="2"/>
        <w:sz w:val="28"/>
        <w:szCs w:val="28"/>
        <w:lang w:val="en-US" w:eastAsia="zh-CN" w:bidi="ar-SA"/>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left="320" w:lef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89aE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&#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vfPWhDECAABjBAAADgAAAAAAAAABACAAAAA1&#10;AQAAZHJzL2Uyb0RvYy54bWxQSwUGAAAAAAYABgBZAQAA2AUAAAAA&#10;">
              <v:fill on="f" focussize="0,0"/>
              <v:stroke on="f" weight="0.5pt"/>
              <v:imagedata o:title=""/>
              <o:lock v:ext="edit" aspectratio="f"/>
              <v:textbox inset="0mm,0mm,0mm,0mm" style="mso-fit-shape-to-text:t;">
                <w:txbxContent>
                  <w:p>
                    <w:pPr>
                      <w:pStyle w:val="11"/>
                      <w:keepNext w:val="0"/>
                      <w:keepLines w:val="0"/>
                      <w:pageBreakBefore w:val="0"/>
                      <w:widowControl w:val="0"/>
                      <w:kinsoku/>
                      <w:wordWrap/>
                      <w:overflowPunct/>
                      <w:topLinePunct w:val="0"/>
                      <w:bidi w:val="0"/>
                      <w:adjustRightInd/>
                      <w:snapToGrid w:val="0"/>
                      <w:ind w:left="320" w:leftChars="10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saveSubsetFonts/>
  <w:bordersDoNotSurroundHeader w:val="0"/>
  <w:bordersDoNotSurroundFooter w:val="0"/>
  <w:documentProtection w:enforcement="0"/>
  <w:defaultTabStop w:val="420"/>
  <w:evenAndOddHeaders w:val="1"/>
  <w:drawingGridVerticalSpacing w:val="226"/>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7364D"/>
    <w:rsid w:val="00004DB4"/>
    <w:rsid w:val="00012FF5"/>
    <w:rsid w:val="000239D8"/>
    <w:rsid w:val="000707BE"/>
    <w:rsid w:val="00074731"/>
    <w:rsid w:val="00075EF3"/>
    <w:rsid w:val="00075FAE"/>
    <w:rsid w:val="000B4423"/>
    <w:rsid w:val="000C5FC2"/>
    <w:rsid w:val="000D014E"/>
    <w:rsid w:val="000E4E21"/>
    <w:rsid w:val="000F5581"/>
    <w:rsid w:val="000F5D3B"/>
    <w:rsid w:val="000F63A8"/>
    <w:rsid w:val="000F69EA"/>
    <w:rsid w:val="00125E1E"/>
    <w:rsid w:val="00146039"/>
    <w:rsid w:val="00150A61"/>
    <w:rsid w:val="001602CD"/>
    <w:rsid w:val="00176182"/>
    <w:rsid w:val="00180499"/>
    <w:rsid w:val="00186FE7"/>
    <w:rsid w:val="00190F5E"/>
    <w:rsid w:val="0020701A"/>
    <w:rsid w:val="00210DB1"/>
    <w:rsid w:val="00216FE2"/>
    <w:rsid w:val="002300CC"/>
    <w:rsid w:val="00253D4F"/>
    <w:rsid w:val="00294E40"/>
    <w:rsid w:val="002B1EB0"/>
    <w:rsid w:val="002D05B6"/>
    <w:rsid w:val="002D575F"/>
    <w:rsid w:val="003269BD"/>
    <w:rsid w:val="003360AD"/>
    <w:rsid w:val="003833DF"/>
    <w:rsid w:val="003B3849"/>
    <w:rsid w:val="003F1A9D"/>
    <w:rsid w:val="003F5EE4"/>
    <w:rsid w:val="004402FC"/>
    <w:rsid w:val="00453775"/>
    <w:rsid w:val="0048797A"/>
    <w:rsid w:val="0049741A"/>
    <w:rsid w:val="004B6FBE"/>
    <w:rsid w:val="004B73A7"/>
    <w:rsid w:val="004D5B94"/>
    <w:rsid w:val="004D7354"/>
    <w:rsid w:val="004E6ACF"/>
    <w:rsid w:val="004E7E2C"/>
    <w:rsid w:val="0050000F"/>
    <w:rsid w:val="00531072"/>
    <w:rsid w:val="0053333E"/>
    <w:rsid w:val="00554A43"/>
    <w:rsid w:val="005E5740"/>
    <w:rsid w:val="005F12C0"/>
    <w:rsid w:val="00617F13"/>
    <w:rsid w:val="006974E2"/>
    <w:rsid w:val="0070094E"/>
    <w:rsid w:val="00707B00"/>
    <w:rsid w:val="0071577B"/>
    <w:rsid w:val="007342EA"/>
    <w:rsid w:val="0074569F"/>
    <w:rsid w:val="00752F53"/>
    <w:rsid w:val="0077030A"/>
    <w:rsid w:val="00772DC4"/>
    <w:rsid w:val="00776F19"/>
    <w:rsid w:val="00785963"/>
    <w:rsid w:val="007B4DCF"/>
    <w:rsid w:val="007C5DBE"/>
    <w:rsid w:val="008355BF"/>
    <w:rsid w:val="008A07A3"/>
    <w:rsid w:val="008B26D1"/>
    <w:rsid w:val="008B49DF"/>
    <w:rsid w:val="008B73C2"/>
    <w:rsid w:val="008D5488"/>
    <w:rsid w:val="008F1338"/>
    <w:rsid w:val="008F6540"/>
    <w:rsid w:val="0095280F"/>
    <w:rsid w:val="009A7540"/>
    <w:rsid w:val="009B3735"/>
    <w:rsid w:val="009E4973"/>
    <w:rsid w:val="009E75BA"/>
    <w:rsid w:val="009F5F6A"/>
    <w:rsid w:val="00A00AA5"/>
    <w:rsid w:val="00A22C1C"/>
    <w:rsid w:val="00A246DF"/>
    <w:rsid w:val="00A321DD"/>
    <w:rsid w:val="00A63B88"/>
    <w:rsid w:val="00A67CDE"/>
    <w:rsid w:val="00A84913"/>
    <w:rsid w:val="00AA31B9"/>
    <w:rsid w:val="00AB67F5"/>
    <w:rsid w:val="00AC2289"/>
    <w:rsid w:val="00AC45BA"/>
    <w:rsid w:val="00AD087E"/>
    <w:rsid w:val="00B256A1"/>
    <w:rsid w:val="00B34D75"/>
    <w:rsid w:val="00B363DD"/>
    <w:rsid w:val="00B46420"/>
    <w:rsid w:val="00B52B0A"/>
    <w:rsid w:val="00B5369B"/>
    <w:rsid w:val="00B62838"/>
    <w:rsid w:val="00B62B5F"/>
    <w:rsid w:val="00B75F54"/>
    <w:rsid w:val="00B85E9B"/>
    <w:rsid w:val="00B9130C"/>
    <w:rsid w:val="00B928D6"/>
    <w:rsid w:val="00BA3E58"/>
    <w:rsid w:val="00BA6821"/>
    <w:rsid w:val="00BD603A"/>
    <w:rsid w:val="00BE648E"/>
    <w:rsid w:val="00BF77A7"/>
    <w:rsid w:val="00C14213"/>
    <w:rsid w:val="00C24DC1"/>
    <w:rsid w:val="00C33701"/>
    <w:rsid w:val="00C720AB"/>
    <w:rsid w:val="00C72975"/>
    <w:rsid w:val="00C7631E"/>
    <w:rsid w:val="00C912B1"/>
    <w:rsid w:val="00D22B71"/>
    <w:rsid w:val="00D257DE"/>
    <w:rsid w:val="00D406F3"/>
    <w:rsid w:val="00D478BF"/>
    <w:rsid w:val="00D67905"/>
    <w:rsid w:val="00D87EEF"/>
    <w:rsid w:val="00DC1DFC"/>
    <w:rsid w:val="00DD646F"/>
    <w:rsid w:val="00DE65BD"/>
    <w:rsid w:val="00DF518E"/>
    <w:rsid w:val="00DF6F01"/>
    <w:rsid w:val="00E0109D"/>
    <w:rsid w:val="00E10E48"/>
    <w:rsid w:val="00E220D0"/>
    <w:rsid w:val="00E26D24"/>
    <w:rsid w:val="00E30FAC"/>
    <w:rsid w:val="00E4672E"/>
    <w:rsid w:val="00E7275B"/>
    <w:rsid w:val="00E74B71"/>
    <w:rsid w:val="00E960DD"/>
    <w:rsid w:val="00F249B1"/>
    <w:rsid w:val="00F31B50"/>
    <w:rsid w:val="00F474BA"/>
    <w:rsid w:val="00FB77E2"/>
    <w:rsid w:val="00FF0092"/>
    <w:rsid w:val="00FF1A00"/>
    <w:rsid w:val="01027AF6"/>
    <w:rsid w:val="0119492E"/>
    <w:rsid w:val="01545A05"/>
    <w:rsid w:val="015647C0"/>
    <w:rsid w:val="016C07AD"/>
    <w:rsid w:val="01CC70CA"/>
    <w:rsid w:val="020134C5"/>
    <w:rsid w:val="022573A2"/>
    <w:rsid w:val="022C066A"/>
    <w:rsid w:val="02897931"/>
    <w:rsid w:val="02E678AB"/>
    <w:rsid w:val="02FB5EDD"/>
    <w:rsid w:val="02FE20CD"/>
    <w:rsid w:val="030E1983"/>
    <w:rsid w:val="03265180"/>
    <w:rsid w:val="036F4D79"/>
    <w:rsid w:val="03922815"/>
    <w:rsid w:val="03AF1619"/>
    <w:rsid w:val="04357D70"/>
    <w:rsid w:val="045A591B"/>
    <w:rsid w:val="049A0DAB"/>
    <w:rsid w:val="04B06A30"/>
    <w:rsid w:val="04D1736D"/>
    <w:rsid w:val="04F01126"/>
    <w:rsid w:val="04F96FF0"/>
    <w:rsid w:val="051B5683"/>
    <w:rsid w:val="05243941"/>
    <w:rsid w:val="05782A73"/>
    <w:rsid w:val="064F49ED"/>
    <w:rsid w:val="06783F44"/>
    <w:rsid w:val="06B70F10"/>
    <w:rsid w:val="06C45D47"/>
    <w:rsid w:val="074B5133"/>
    <w:rsid w:val="085207C5"/>
    <w:rsid w:val="085D5AE7"/>
    <w:rsid w:val="0869135D"/>
    <w:rsid w:val="087D621A"/>
    <w:rsid w:val="08E006C7"/>
    <w:rsid w:val="09137F54"/>
    <w:rsid w:val="09747DCA"/>
    <w:rsid w:val="098A290C"/>
    <w:rsid w:val="09B85D41"/>
    <w:rsid w:val="0A2A2D0E"/>
    <w:rsid w:val="0A4C4D41"/>
    <w:rsid w:val="0A600591"/>
    <w:rsid w:val="0A9D47E0"/>
    <w:rsid w:val="0AE3654E"/>
    <w:rsid w:val="0AFC15E8"/>
    <w:rsid w:val="0B0E76D9"/>
    <w:rsid w:val="0B50723E"/>
    <w:rsid w:val="0B7369C9"/>
    <w:rsid w:val="0B9A670B"/>
    <w:rsid w:val="0BC813B2"/>
    <w:rsid w:val="0BE04A65"/>
    <w:rsid w:val="0BFD17E6"/>
    <w:rsid w:val="0C1C7A68"/>
    <w:rsid w:val="0C7B02EA"/>
    <w:rsid w:val="0CAA6E21"/>
    <w:rsid w:val="0CC74532"/>
    <w:rsid w:val="0CE4734A"/>
    <w:rsid w:val="0CF17D5A"/>
    <w:rsid w:val="0D1B563B"/>
    <w:rsid w:val="0DAD2A66"/>
    <w:rsid w:val="0DC12675"/>
    <w:rsid w:val="0DC51538"/>
    <w:rsid w:val="0DC92E42"/>
    <w:rsid w:val="0DC932D7"/>
    <w:rsid w:val="0DCB34F3"/>
    <w:rsid w:val="0E050C1A"/>
    <w:rsid w:val="0E1B6658"/>
    <w:rsid w:val="0E477E26"/>
    <w:rsid w:val="0E686BFA"/>
    <w:rsid w:val="0EA128B4"/>
    <w:rsid w:val="0F43661A"/>
    <w:rsid w:val="0F7200CA"/>
    <w:rsid w:val="0F814C1C"/>
    <w:rsid w:val="10190546"/>
    <w:rsid w:val="104F52FB"/>
    <w:rsid w:val="10606175"/>
    <w:rsid w:val="107A1E5E"/>
    <w:rsid w:val="10B015E4"/>
    <w:rsid w:val="112B386B"/>
    <w:rsid w:val="118E5583"/>
    <w:rsid w:val="121C431D"/>
    <w:rsid w:val="124A70DD"/>
    <w:rsid w:val="125A0A64"/>
    <w:rsid w:val="12922A85"/>
    <w:rsid w:val="12CB4834"/>
    <w:rsid w:val="12DC3AAD"/>
    <w:rsid w:val="13070B2A"/>
    <w:rsid w:val="13170AE0"/>
    <w:rsid w:val="132C202E"/>
    <w:rsid w:val="135F2EC8"/>
    <w:rsid w:val="138F4439"/>
    <w:rsid w:val="13961A8B"/>
    <w:rsid w:val="139F5206"/>
    <w:rsid w:val="13A07BFB"/>
    <w:rsid w:val="13D34EB0"/>
    <w:rsid w:val="14077C2B"/>
    <w:rsid w:val="147512E9"/>
    <w:rsid w:val="14787805"/>
    <w:rsid w:val="14966C50"/>
    <w:rsid w:val="14BA5FFE"/>
    <w:rsid w:val="14C63062"/>
    <w:rsid w:val="14DE58BA"/>
    <w:rsid w:val="15883E10"/>
    <w:rsid w:val="159E329B"/>
    <w:rsid w:val="15B17473"/>
    <w:rsid w:val="15FC6F55"/>
    <w:rsid w:val="162D115B"/>
    <w:rsid w:val="163574CE"/>
    <w:rsid w:val="1665278B"/>
    <w:rsid w:val="16CD3FE7"/>
    <w:rsid w:val="16ED0036"/>
    <w:rsid w:val="16F5516D"/>
    <w:rsid w:val="16F71A64"/>
    <w:rsid w:val="17147F53"/>
    <w:rsid w:val="173B5246"/>
    <w:rsid w:val="17435EA8"/>
    <w:rsid w:val="176176EF"/>
    <w:rsid w:val="17697797"/>
    <w:rsid w:val="17A0779F"/>
    <w:rsid w:val="17FFCBF8"/>
    <w:rsid w:val="185B7287"/>
    <w:rsid w:val="189664AC"/>
    <w:rsid w:val="18B2778A"/>
    <w:rsid w:val="19A075E2"/>
    <w:rsid w:val="1A1B4EBB"/>
    <w:rsid w:val="1A2E4BEE"/>
    <w:rsid w:val="1A46462D"/>
    <w:rsid w:val="1A5B6901"/>
    <w:rsid w:val="1A620208"/>
    <w:rsid w:val="1A6E5932"/>
    <w:rsid w:val="1A9B0117"/>
    <w:rsid w:val="1AB62E35"/>
    <w:rsid w:val="1AB95442"/>
    <w:rsid w:val="1ABD5F72"/>
    <w:rsid w:val="1AC63078"/>
    <w:rsid w:val="1B0C021E"/>
    <w:rsid w:val="1B155DAE"/>
    <w:rsid w:val="1B2253D3"/>
    <w:rsid w:val="1B494662"/>
    <w:rsid w:val="1B723200"/>
    <w:rsid w:val="1BD25A4D"/>
    <w:rsid w:val="1BDA7D4E"/>
    <w:rsid w:val="1BF14125"/>
    <w:rsid w:val="1C117A47"/>
    <w:rsid w:val="1C2037D8"/>
    <w:rsid w:val="1C243FC1"/>
    <w:rsid w:val="1C4A5276"/>
    <w:rsid w:val="1C5446B4"/>
    <w:rsid w:val="1C9C5CF6"/>
    <w:rsid w:val="1CA74E50"/>
    <w:rsid w:val="1CBD04AB"/>
    <w:rsid w:val="1CBF5FD1"/>
    <w:rsid w:val="1CDA2E0B"/>
    <w:rsid w:val="1CF739BD"/>
    <w:rsid w:val="1D052F29"/>
    <w:rsid w:val="1D091930"/>
    <w:rsid w:val="1D166A47"/>
    <w:rsid w:val="1D3A3E43"/>
    <w:rsid w:val="1D48246B"/>
    <w:rsid w:val="1D620A8C"/>
    <w:rsid w:val="1DB37BCA"/>
    <w:rsid w:val="1DC61753"/>
    <w:rsid w:val="1DD14493"/>
    <w:rsid w:val="1DE35A9C"/>
    <w:rsid w:val="1E223897"/>
    <w:rsid w:val="1E230EC9"/>
    <w:rsid w:val="1E461D57"/>
    <w:rsid w:val="1E566E09"/>
    <w:rsid w:val="1E6C03DB"/>
    <w:rsid w:val="1E892D3B"/>
    <w:rsid w:val="1EC529C9"/>
    <w:rsid w:val="1EDF6DFF"/>
    <w:rsid w:val="1EE61F3B"/>
    <w:rsid w:val="1F09563F"/>
    <w:rsid w:val="1F1F544D"/>
    <w:rsid w:val="1F2C36C6"/>
    <w:rsid w:val="1F5D38F0"/>
    <w:rsid w:val="1F8D0609"/>
    <w:rsid w:val="1F947BE9"/>
    <w:rsid w:val="1F962BF6"/>
    <w:rsid w:val="1FA96D6D"/>
    <w:rsid w:val="1FD71884"/>
    <w:rsid w:val="205B31F2"/>
    <w:rsid w:val="205B4B9B"/>
    <w:rsid w:val="209A5622"/>
    <w:rsid w:val="20DE6C42"/>
    <w:rsid w:val="21146633"/>
    <w:rsid w:val="215D0D5A"/>
    <w:rsid w:val="21747AD1"/>
    <w:rsid w:val="21AE3A4D"/>
    <w:rsid w:val="21CB5418"/>
    <w:rsid w:val="21E07116"/>
    <w:rsid w:val="220152DE"/>
    <w:rsid w:val="22456F79"/>
    <w:rsid w:val="225E003A"/>
    <w:rsid w:val="22761BDB"/>
    <w:rsid w:val="22BB723B"/>
    <w:rsid w:val="23273161"/>
    <w:rsid w:val="232A43C0"/>
    <w:rsid w:val="23445482"/>
    <w:rsid w:val="234C0A07"/>
    <w:rsid w:val="238E0DF3"/>
    <w:rsid w:val="23E26A49"/>
    <w:rsid w:val="23F8626D"/>
    <w:rsid w:val="24354C78"/>
    <w:rsid w:val="244660D0"/>
    <w:rsid w:val="24485B15"/>
    <w:rsid w:val="24BB6E2C"/>
    <w:rsid w:val="2500187D"/>
    <w:rsid w:val="258E3677"/>
    <w:rsid w:val="25AC667C"/>
    <w:rsid w:val="25EC18F4"/>
    <w:rsid w:val="2601765A"/>
    <w:rsid w:val="26154FB2"/>
    <w:rsid w:val="261B7066"/>
    <w:rsid w:val="261F4F51"/>
    <w:rsid w:val="26282E39"/>
    <w:rsid w:val="2667463E"/>
    <w:rsid w:val="2680309B"/>
    <w:rsid w:val="268C5F85"/>
    <w:rsid w:val="26CC0480"/>
    <w:rsid w:val="26D6576A"/>
    <w:rsid w:val="26E2325A"/>
    <w:rsid w:val="27706476"/>
    <w:rsid w:val="277C17AA"/>
    <w:rsid w:val="27846795"/>
    <w:rsid w:val="27FA3DFB"/>
    <w:rsid w:val="27FC3FD8"/>
    <w:rsid w:val="27FF792B"/>
    <w:rsid w:val="28090364"/>
    <w:rsid w:val="28170BCD"/>
    <w:rsid w:val="2841297F"/>
    <w:rsid w:val="2869508F"/>
    <w:rsid w:val="28902F18"/>
    <w:rsid w:val="29125B79"/>
    <w:rsid w:val="29143BE7"/>
    <w:rsid w:val="293318E2"/>
    <w:rsid w:val="29826D04"/>
    <w:rsid w:val="29AC486D"/>
    <w:rsid w:val="29B36EBE"/>
    <w:rsid w:val="29DD160B"/>
    <w:rsid w:val="29E057D9"/>
    <w:rsid w:val="29E16921"/>
    <w:rsid w:val="2A0307B2"/>
    <w:rsid w:val="2A043D7C"/>
    <w:rsid w:val="2A0D1BD2"/>
    <w:rsid w:val="2A126ACA"/>
    <w:rsid w:val="2A1A6F3D"/>
    <w:rsid w:val="2A383867"/>
    <w:rsid w:val="2A437ED2"/>
    <w:rsid w:val="2A5C7555"/>
    <w:rsid w:val="2A6D3510"/>
    <w:rsid w:val="2B6E6835"/>
    <w:rsid w:val="2B7E1819"/>
    <w:rsid w:val="2B807273"/>
    <w:rsid w:val="2B966A97"/>
    <w:rsid w:val="2BA53663"/>
    <w:rsid w:val="2BBD4D05"/>
    <w:rsid w:val="2BE47802"/>
    <w:rsid w:val="2C0B40A3"/>
    <w:rsid w:val="2C1459B4"/>
    <w:rsid w:val="2C1D2D14"/>
    <w:rsid w:val="2C1F4CDE"/>
    <w:rsid w:val="2C447A73"/>
    <w:rsid w:val="2C8114F5"/>
    <w:rsid w:val="2CA46F92"/>
    <w:rsid w:val="2CA945A8"/>
    <w:rsid w:val="2CC11743"/>
    <w:rsid w:val="2CCA4D26"/>
    <w:rsid w:val="2CD346B4"/>
    <w:rsid w:val="2CD930DF"/>
    <w:rsid w:val="2D0F08AF"/>
    <w:rsid w:val="2D1D2C92"/>
    <w:rsid w:val="2D3C541C"/>
    <w:rsid w:val="2D79041E"/>
    <w:rsid w:val="2DC86CB0"/>
    <w:rsid w:val="2DDA1729"/>
    <w:rsid w:val="2DEC299E"/>
    <w:rsid w:val="2DFB1E88"/>
    <w:rsid w:val="2EFD226A"/>
    <w:rsid w:val="2F1523C9"/>
    <w:rsid w:val="2F1A178D"/>
    <w:rsid w:val="2F2F7552"/>
    <w:rsid w:val="2F6A5E4E"/>
    <w:rsid w:val="2FA84FEB"/>
    <w:rsid w:val="2FD951A4"/>
    <w:rsid w:val="2FDB716E"/>
    <w:rsid w:val="303A37CF"/>
    <w:rsid w:val="3072093B"/>
    <w:rsid w:val="30916143"/>
    <w:rsid w:val="3099603C"/>
    <w:rsid w:val="30B15DF3"/>
    <w:rsid w:val="30D4069D"/>
    <w:rsid w:val="31005C57"/>
    <w:rsid w:val="313E5C07"/>
    <w:rsid w:val="316B62D0"/>
    <w:rsid w:val="317C4041"/>
    <w:rsid w:val="318F4303"/>
    <w:rsid w:val="31BB50CD"/>
    <w:rsid w:val="31C95ECC"/>
    <w:rsid w:val="320418A7"/>
    <w:rsid w:val="32127889"/>
    <w:rsid w:val="32173E22"/>
    <w:rsid w:val="321B6170"/>
    <w:rsid w:val="322F72FD"/>
    <w:rsid w:val="32302920"/>
    <w:rsid w:val="32494863"/>
    <w:rsid w:val="326E6078"/>
    <w:rsid w:val="329D695D"/>
    <w:rsid w:val="32E93950"/>
    <w:rsid w:val="33493040"/>
    <w:rsid w:val="338F1D24"/>
    <w:rsid w:val="33C64046"/>
    <w:rsid w:val="33EA354A"/>
    <w:rsid w:val="342A55BD"/>
    <w:rsid w:val="342F78AE"/>
    <w:rsid w:val="34360E17"/>
    <w:rsid w:val="3437447E"/>
    <w:rsid w:val="34394463"/>
    <w:rsid w:val="343D03F7"/>
    <w:rsid w:val="34E055D3"/>
    <w:rsid w:val="34EF7F8B"/>
    <w:rsid w:val="35204193"/>
    <w:rsid w:val="35414B88"/>
    <w:rsid w:val="358D0F0B"/>
    <w:rsid w:val="35BC534C"/>
    <w:rsid w:val="361F4BD4"/>
    <w:rsid w:val="365657A0"/>
    <w:rsid w:val="365B662D"/>
    <w:rsid w:val="366E7EAA"/>
    <w:rsid w:val="36DF0E2E"/>
    <w:rsid w:val="37090FC3"/>
    <w:rsid w:val="370B658B"/>
    <w:rsid w:val="378325C5"/>
    <w:rsid w:val="37A140B0"/>
    <w:rsid w:val="37C4276C"/>
    <w:rsid w:val="37E0779A"/>
    <w:rsid w:val="37E51795"/>
    <w:rsid w:val="37FB194B"/>
    <w:rsid w:val="3850005B"/>
    <w:rsid w:val="38BD1B07"/>
    <w:rsid w:val="38BF6E75"/>
    <w:rsid w:val="38D82A39"/>
    <w:rsid w:val="38EA072B"/>
    <w:rsid w:val="39025329"/>
    <w:rsid w:val="3994478B"/>
    <w:rsid w:val="39C064A6"/>
    <w:rsid w:val="39E8636C"/>
    <w:rsid w:val="3A105C66"/>
    <w:rsid w:val="3A3520C2"/>
    <w:rsid w:val="3A361FCA"/>
    <w:rsid w:val="3A4B33B2"/>
    <w:rsid w:val="3A4D20AB"/>
    <w:rsid w:val="3A800389"/>
    <w:rsid w:val="3AA56A3E"/>
    <w:rsid w:val="3B355236"/>
    <w:rsid w:val="3B4958D4"/>
    <w:rsid w:val="3B4F633E"/>
    <w:rsid w:val="3BA1027E"/>
    <w:rsid w:val="3BAC5B7C"/>
    <w:rsid w:val="3BE96868"/>
    <w:rsid w:val="3C331D87"/>
    <w:rsid w:val="3C866502"/>
    <w:rsid w:val="3CBB45AF"/>
    <w:rsid w:val="3CCB2319"/>
    <w:rsid w:val="3CFF085F"/>
    <w:rsid w:val="3D113A02"/>
    <w:rsid w:val="3D131AE9"/>
    <w:rsid w:val="3D2C725B"/>
    <w:rsid w:val="3D5E1037"/>
    <w:rsid w:val="3D687B67"/>
    <w:rsid w:val="3DA85D5D"/>
    <w:rsid w:val="3DDD2303"/>
    <w:rsid w:val="3DF37887"/>
    <w:rsid w:val="3DFE1172"/>
    <w:rsid w:val="3E09759C"/>
    <w:rsid w:val="3E246184"/>
    <w:rsid w:val="3E2B66CE"/>
    <w:rsid w:val="3E371A94"/>
    <w:rsid w:val="3E793573"/>
    <w:rsid w:val="3EAC46CB"/>
    <w:rsid w:val="3ED85F6A"/>
    <w:rsid w:val="3EDC05E9"/>
    <w:rsid w:val="3EFE69D5"/>
    <w:rsid w:val="3F32667F"/>
    <w:rsid w:val="3F3725C6"/>
    <w:rsid w:val="3F3F560A"/>
    <w:rsid w:val="3F5465F5"/>
    <w:rsid w:val="3F577E93"/>
    <w:rsid w:val="3F8F154D"/>
    <w:rsid w:val="400718BA"/>
    <w:rsid w:val="400A03A0"/>
    <w:rsid w:val="40785E70"/>
    <w:rsid w:val="407E7DCE"/>
    <w:rsid w:val="40994C08"/>
    <w:rsid w:val="413764F1"/>
    <w:rsid w:val="415154E2"/>
    <w:rsid w:val="4166452D"/>
    <w:rsid w:val="419929E5"/>
    <w:rsid w:val="41B25855"/>
    <w:rsid w:val="41DD4355"/>
    <w:rsid w:val="41FD11B8"/>
    <w:rsid w:val="42027AA7"/>
    <w:rsid w:val="42141A23"/>
    <w:rsid w:val="4229193F"/>
    <w:rsid w:val="422B01B1"/>
    <w:rsid w:val="426B5AB5"/>
    <w:rsid w:val="42B52A5A"/>
    <w:rsid w:val="42C11F76"/>
    <w:rsid w:val="431C0FA3"/>
    <w:rsid w:val="43263B27"/>
    <w:rsid w:val="43494F9D"/>
    <w:rsid w:val="43A63197"/>
    <w:rsid w:val="43BC7A26"/>
    <w:rsid w:val="43E17FBB"/>
    <w:rsid w:val="43E837B0"/>
    <w:rsid w:val="440E14B4"/>
    <w:rsid w:val="4450382F"/>
    <w:rsid w:val="4487121B"/>
    <w:rsid w:val="44AE0556"/>
    <w:rsid w:val="44BF75C2"/>
    <w:rsid w:val="44FF20B3"/>
    <w:rsid w:val="45144CED"/>
    <w:rsid w:val="457D3A48"/>
    <w:rsid w:val="459009A0"/>
    <w:rsid w:val="45E9193B"/>
    <w:rsid w:val="46565349"/>
    <w:rsid w:val="466F73F9"/>
    <w:rsid w:val="4670640B"/>
    <w:rsid w:val="467D5DF7"/>
    <w:rsid w:val="468B758D"/>
    <w:rsid w:val="46B9263B"/>
    <w:rsid w:val="474700F7"/>
    <w:rsid w:val="47551748"/>
    <w:rsid w:val="477B5067"/>
    <w:rsid w:val="47896E4A"/>
    <w:rsid w:val="479A3013"/>
    <w:rsid w:val="47B5241F"/>
    <w:rsid w:val="47F170D7"/>
    <w:rsid w:val="48096C36"/>
    <w:rsid w:val="481179F8"/>
    <w:rsid w:val="48911DAA"/>
    <w:rsid w:val="489B7AFF"/>
    <w:rsid w:val="48C25573"/>
    <w:rsid w:val="48FF5824"/>
    <w:rsid w:val="493A685C"/>
    <w:rsid w:val="495913D8"/>
    <w:rsid w:val="49675177"/>
    <w:rsid w:val="4981448B"/>
    <w:rsid w:val="49814BB0"/>
    <w:rsid w:val="49CC5B8B"/>
    <w:rsid w:val="49E37009"/>
    <w:rsid w:val="4A3D2AA8"/>
    <w:rsid w:val="4A6022F2"/>
    <w:rsid w:val="4A6437AC"/>
    <w:rsid w:val="4A7758A6"/>
    <w:rsid w:val="4A924A29"/>
    <w:rsid w:val="4ABE4119"/>
    <w:rsid w:val="4AEB2504"/>
    <w:rsid w:val="4AF13892"/>
    <w:rsid w:val="4B246D06"/>
    <w:rsid w:val="4B2F3F27"/>
    <w:rsid w:val="4B3D4955"/>
    <w:rsid w:val="4B69167A"/>
    <w:rsid w:val="4B6C4CC7"/>
    <w:rsid w:val="4B8B56AF"/>
    <w:rsid w:val="4B904E59"/>
    <w:rsid w:val="4B92038C"/>
    <w:rsid w:val="4BE807F1"/>
    <w:rsid w:val="4BEE22E8"/>
    <w:rsid w:val="4C39104D"/>
    <w:rsid w:val="4C491D08"/>
    <w:rsid w:val="4C4D5113"/>
    <w:rsid w:val="4C8C496E"/>
    <w:rsid w:val="4CB12EAD"/>
    <w:rsid w:val="4D185998"/>
    <w:rsid w:val="4D201AAA"/>
    <w:rsid w:val="4D2F3630"/>
    <w:rsid w:val="4D3F2693"/>
    <w:rsid w:val="4D5B36BC"/>
    <w:rsid w:val="4D7762D0"/>
    <w:rsid w:val="4D785125"/>
    <w:rsid w:val="4D970721"/>
    <w:rsid w:val="4DDF3DDC"/>
    <w:rsid w:val="4DE84AD8"/>
    <w:rsid w:val="4DF212B1"/>
    <w:rsid w:val="4E1B4533"/>
    <w:rsid w:val="4E3917D8"/>
    <w:rsid w:val="4E550B4D"/>
    <w:rsid w:val="4E6D1482"/>
    <w:rsid w:val="4EAC01FC"/>
    <w:rsid w:val="4EE82601"/>
    <w:rsid w:val="4F365D17"/>
    <w:rsid w:val="4F3A75B6"/>
    <w:rsid w:val="4F602D6F"/>
    <w:rsid w:val="4F8103AB"/>
    <w:rsid w:val="4F842368"/>
    <w:rsid w:val="4FBA6B88"/>
    <w:rsid w:val="500C1893"/>
    <w:rsid w:val="501F0559"/>
    <w:rsid w:val="502A6491"/>
    <w:rsid w:val="50A8549A"/>
    <w:rsid w:val="50E514B3"/>
    <w:rsid w:val="51110DD8"/>
    <w:rsid w:val="51346287"/>
    <w:rsid w:val="514861A7"/>
    <w:rsid w:val="517B73AD"/>
    <w:rsid w:val="51822890"/>
    <w:rsid w:val="51D05182"/>
    <w:rsid w:val="52302EF2"/>
    <w:rsid w:val="525D7430"/>
    <w:rsid w:val="526E0CF4"/>
    <w:rsid w:val="5281374D"/>
    <w:rsid w:val="52AB4326"/>
    <w:rsid w:val="52BD6DD9"/>
    <w:rsid w:val="52D95337"/>
    <w:rsid w:val="52FE793B"/>
    <w:rsid w:val="530761B0"/>
    <w:rsid w:val="53672943"/>
    <w:rsid w:val="537806AC"/>
    <w:rsid w:val="53800563"/>
    <w:rsid w:val="53AF28DA"/>
    <w:rsid w:val="5435659E"/>
    <w:rsid w:val="54485C17"/>
    <w:rsid w:val="54915B0D"/>
    <w:rsid w:val="557A0F47"/>
    <w:rsid w:val="55C0458D"/>
    <w:rsid w:val="55D24B15"/>
    <w:rsid w:val="55FB2E8C"/>
    <w:rsid w:val="564A7365"/>
    <w:rsid w:val="56766884"/>
    <w:rsid w:val="56B440F1"/>
    <w:rsid w:val="56CB143B"/>
    <w:rsid w:val="56E524FD"/>
    <w:rsid w:val="57141411"/>
    <w:rsid w:val="579D6934"/>
    <w:rsid w:val="57D15050"/>
    <w:rsid w:val="58522AD9"/>
    <w:rsid w:val="586C0DC3"/>
    <w:rsid w:val="58A81A34"/>
    <w:rsid w:val="58BD167A"/>
    <w:rsid w:val="591B0458"/>
    <w:rsid w:val="593037D7"/>
    <w:rsid w:val="59440B35"/>
    <w:rsid w:val="59A87633"/>
    <w:rsid w:val="59B4435E"/>
    <w:rsid w:val="59BB5CD1"/>
    <w:rsid w:val="5A1242AB"/>
    <w:rsid w:val="5A497EBA"/>
    <w:rsid w:val="5A643739"/>
    <w:rsid w:val="5AC23789"/>
    <w:rsid w:val="5AC4067B"/>
    <w:rsid w:val="5AD05272"/>
    <w:rsid w:val="5ADF40D4"/>
    <w:rsid w:val="5B667984"/>
    <w:rsid w:val="5B9F7B74"/>
    <w:rsid w:val="5BAA7871"/>
    <w:rsid w:val="5BDE39BF"/>
    <w:rsid w:val="5C043425"/>
    <w:rsid w:val="5C662036"/>
    <w:rsid w:val="5C757E7F"/>
    <w:rsid w:val="5C845D0F"/>
    <w:rsid w:val="5C882CA5"/>
    <w:rsid w:val="5C9A3B96"/>
    <w:rsid w:val="5CB309A7"/>
    <w:rsid w:val="5CC63365"/>
    <w:rsid w:val="5CD85714"/>
    <w:rsid w:val="5CE84AF5"/>
    <w:rsid w:val="5D203D40"/>
    <w:rsid w:val="5D3A4C25"/>
    <w:rsid w:val="5D3A7F3E"/>
    <w:rsid w:val="5D6879E4"/>
    <w:rsid w:val="5D902A97"/>
    <w:rsid w:val="5DDC09B0"/>
    <w:rsid w:val="5DDD2180"/>
    <w:rsid w:val="5E5B4E53"/>
    <w:rsid w:val="5E89524E"/>
    <w:rsid w:val="5E9C3969"/>
    <w:rsid w:val="5EA47E55"/>
    <w:rsid w:val="5EF05EE3"/>
    <w:rsid w:val="5F1E610A"/>
    <w:rsid w:val="5F531FCE"/>
    <w:rsid w:val="5FA16A73"/>
    <w:rsid w:val="5FDB26EF"/>
    <w:rsid w:val="6042451C"/>
    <w:rsid w:val="60554C43"/>
    <w:rsid w:val="60802196"/>
    <w:rsid w:val="6119480C"/>
    <w:rsid w:val="612003CD"/>
    <w:rsid w:val="61774699"/>
    <w:rsid w:val="61860438"/>
    <w:rsid w:val="61891CD7"/>
    <w:rsid w:val="61952D71"/>
    <w:rsid w:val="61AD3C17"/>
    <w:rsid w:val="61B27351"/>
    <w:rsid w:val="61B350D9"/>
    <w:rsid w:val="61C827FF"/>
    <w:rsid w:val="61CE396D"/>
    <w:rsid w:val="61D07F57"/>
    <w:rsid w:val="61D359DC"/>
    <w:rsid w:val="61E82EA1"/>
    <w:rsid w:val="620D6CDB"/>
    <w:rsid w:val="62384840"/>
    <w:rsid w:val="623E5335"/>
    <w:rsid w:val="624D3F53"/>
    <w:rsid w:val="62544F16"/>
    <w:rsid w:val="62C42DC8"/>
    <w:rsid w:val="62D4701F"/>
    <w:rsid w:val="63091321"/>
    <w:rsid w:val="631C44D8"/>
    <w:rsid w:val="63422A85"/>
    <w:rsid w:val="636447A9"/>
    <w:rsid w:val="63690012"/>
    <w:rsid w:val="63B75221"/>
    <w:rsid w:val="63C948C4"/>
    <w:rsid w:val="63CF256B"/>
    <w:rsid w:val="64162907"/>
    <w:rsid w:val="641C6E32"/>
    <w:rsid w:val="6449399F"/>
    <w:rsid w:val="64536F34"/>
    <w:rsid w:val="6457364D"/>
    <w:rsid w:val="645A177E"/>
    <w:rsid w:val="648F5F3F"/>
    <w:rsid w:val="649E3CEB"/>
    <w:rsid w:val="64C25C2B"/>
    <w:rsid w:val="64CF4647"/>
    <w:rsid w:val="656155F6"/>
    <w:rsid w:val="65A92530"/>
    <w:rsid w:val="65C3099E"/>
    <w:rsid w:val="65E266DD"/>
    <w:rsid w:val="664F4EF8"/>
    <w:rsid w:val="666A0329"/>
    <w:rsid w:val="666B1363"/>
    <w:rsid w:val="66754F1F"/>
    <w:rsid w:val="66EC6F90"/>
    <w:rsid w:val="66ED1A86"/>
    <w:rsid w:val="67005B29"/>
    <w:rsid w:val="6700768C"/>
    <w:rsid w:val="67125420"/>
    <w:rsid w:val="67155089"/>
    <w:rsid w:val="672520C8"/>
    <w:rsid w:val="67307053"/>
    <w:rsid w:val="67472544"/>
    <w:rsid w:val="674F3EF0"/>
    <w:rsid w:val="67717172"/>
    <w:rsid w:val="67A8101C"/>
    <w:rsid w:val="67CC0B6F"/>
    <w:rsid w:val="67DE5A20"/>
    <w:rsid w:val="680B1697"/>
    <w:rsid w:val="6928751B"/>
    <w:rsid w:val="692D77C9"/>
    <w:rsid w:val="696A7664"/>
    <w:rsid w:val="69D453EC"/>
    <w:rsid w:val="6A015577"/>
    <w:rsid w:val="6A0D5B9B"/>
    <w:rsid w:val="6A8E3DA0"/>
    <w:rsid w:val="6A91145E"/>
    <w:rsid w:val="6AA665D5"/>
    <w:rsid w:val="6AA91E69"/>
    <w:rsid w:val="6AB35532"/>
    <w:rsid w:val="6AB42822"/>
    <w:rsid w:val="6ACB0D92"/>
    <w:rsid w:val="6B2667E8"/>
    <w:rsid w:val="6BBD714D"/>
    <w:rsid w:val="6BCB7B12"/>
    <w:rsid w:val="6BD732BE"/>
    <w:rsid w:val="6BEC5804"/>
    <w:rsid w:val="6C845EBC"/>
    <w:rsid w:val="6C951E77"/>
    <w:rsid w:val="6D11168C"/>
    <w:rsid w:val="6D170ADE"/>
    <w:rsid w:val="6D5B1174"/>
    <w:rsid w:val="6D77157D"/>
    <w:rsid w:val="6D9F190F"/>
    <w:rsid w:val="6E0125FA"/>
    <w:rsid w:val="6E10130D"/>
    <w:rsid w:val="6E55366C"/>
    <w:rsid w:val="6E573888"/>
    <w:rsid w:val="6E577F6E"/>
    <w:rsid w:val="6E8D7213"/>
    <w:rsid w:val="6E9817AB"/>
    <w:rsid w:val="6EB83BFB"/>
    <w:rsid w:val="6F135283"/>
    <w:rsid w:val="6F584596"/>
    <w:rsid w:val="6F7F1916"/>
    <w:rsid w:val="6F850C19"/>
    <w:rsid w:val="6FB21973"/>
    <w:rsid w:val="6FB97C2B"/>
    <w:rsid w:val="6FD72F80"/>
    <w:rsid w:val="6FFC72C8"/>
    <w:rsid w:val="701F03D6"/>
    <w:rsid w:val="70604B55"/>
    <w:rsid w:val="70A06B15"/>
    <w:rsid w:val="70C2594D"/>
    <w:rsid w:val="712D6B22"/>
    <w:rsid w:val="71333A0D"/>
    <w:rsid w:val="71AE5E81"/>
    <w:rsid w:val="7231619E"/>
    <w:rsid w:val="72477770"/>
    <w:rsid w:val="72643B44"/>
    <w:rsid w:val="72B74B29"/>
    <w:rsid w:val="72B95690"/>
    <w:rsid w:val="72D73123"/>
    <w:rsid w:val="72E8559F"/>
    <w:rsid w:val="73BF77DA"/>
    <w:rsid w:val="73D327D6"/>
    <w:rsid w:val="740A4E39"/>
    <w:rsid w:val="740C0C71"/>
    <w:rsid w:val="74100036"/>
    <w:rsid w:val="74371BBB"/>
    <w:rsid w:val="7474198A"/>
    <w:rsid w:val="749F45AC"/>
    <w:rsid w:val="74BB0815"/>
    <w:rsid w:val="754F1532"/>
    <w:rsid w:val="757F1673"/>
    <w:rsid w:val="75A47075"/>
    <w:rsid w:val="75D92DD5"/>
    <w:rsid w:val="75FB33E3"/>
    <w:rsid w:val="764A3ADC"/>
    <w:rsid w:val="767B656D"/>
    <w:rsid w:val="76A1171D"/>
    <w:rsid w:val="7730111A"/>
    <w:rsid w:val="774B6BCA"/>
    <w:rsid w:val="776CF200"/>
    <w:rsid w:val="776F342E"/>
    <w:rsid w:val="779E006E"/>
    <w:rsid w:val="77A12F65"/>
    <w:rsid w:val="77FB68DB"/>
    <w:rsid w:val="78232941"/>
    <w:rsid w:val="783207F7"/>
    <w:rsid w:val="784C06DB"/>
    <w:rsid w:val="78522980"/>
    <w:rsid w:val="787E5EB6"/>
    <w:rsid w:val="7884608A"/>
    <w:rsid w:val="78A05E2C"/>
    <w:rsid w:val="78D00B9B"/>
    <w:rsid w:val="78EF5072"/>
    <w:rsid w:val="79052133"/>
    <w:rsid w:val="794B7132"/>
    <w:rsid w:val="79516239"/>
    <w:rsid w:val="796706F8"/>
    <w:rsid w:val="7968342D"/>
    <w:rsid w:val="79B06543"/>
    <w:rsid w:val="79C67B14"/>
    <w:rsid w:val="79D63CA4"/>
    <w:rsid w:val="79F44681"/>
    <w:rsid w:val="79F870A1"/>
    <w:rsid w:val="7A293BFF"/>
    <w:rsid w:val="7A34668D"/>
    <w:rsid w:val="7A35088C"/>
    <w:rsid w:val="7A5E1AFB"/>
    <w:rsid w:val="7ADA25B4"/>
    <w:rsid w:val="7AED6185"/>
    <w:rsid w:val="7B060A1C"/>
    <w:rsid w:val="7B116B6D"/>
    <w:rsid w:val="7B1A0118"/>
    <w:rsid w:val="7B686770"/>
    <w:rsid w:val="7B6D7E01"/>
    <w:rsid w:val="7BD328B6"/>
    <w:rsid w:val="7BFB7203"/>
    <w:rsid w:val="7C0025C6"/>
    <w:rsid w:val="7C224DAA"/>
    <w:rsid w:val="7C3A0345"/>
    <w:rsid w:val="7C43544C"/>
    <w:rsid w:val="7C7218A7"/>
    <w:rsid w:val="7C8141C6"/>
    <w:rsid w:val="7C877DDC"/>
    <w:rsid w:val="7CA3413D"/>
    <w:rsid w:val="7CCC169D"/>
    <w:rsid w:val="7CD662C0"/>
    <w:rsid w:val="7CE704CD"/>
    <w:rsid w:val="7CE706ED"/>
    <w:rsid w:val="7CEB12EA"/>
    <w:rsid w:val="7D1312C2"/>
    <w:rsid w:val="7D360076"/>
    <w:rsid w:val="7D52346D"/>
    <w:rsid w:val="7D540B82"/>
    <w:rsid w:val="7D6F4E7D"/>
    <w:rsid w:val="7DC97BD3"/>
    <w:rsid w:val="7DCA55DE"/>
    <w:rsid w:val="7DDDC947"/>
    <w:rsid w:val="7E472E3A"/>
    <w:rsid w:val="7E726D78"/>
    <w:rsid w:val="7EAA7A04"/>
    <w:rsid w:val="7EEA1B17"/>
    <w:rsid w:val="7EFB5002"/>
    <w:rsid w:val="7F0D04B6"/>
    <w:rsid w:val="7F274969"/>
    <w:rsid w:val="7F3324A9"/>
    <w:rsid w:val="7F645E05"/>
    <w:rsid w:val="7F6E3114"/>
    <w:rsid w:val="7F8D7A0B"/>
    <w:rsid w:val="7FBE2E21"/>
    <w:rsid w:val="7FD30E24"/>
    <w:rsid w:val="A65D5E97"/>
    <w:rsid w:val="CFBB8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eastAsia="仿宋" w:asciiTheme="minorHAnsi" w:hAnsiTheme="minorHAnsi" w:cstheme="minorBidi"/>
      <w:kern w:val="2"/>
      <w:sz w:val="32"/>
      <w:szCs w:val="24"/>
      <w:lang w:val="en-US" w:eastAsia="zh-CN" w:bidi="ar-SA"/>
    </w:rPr>
  </w:style>
  <w:style w:type="paragraph" w:styleId="3">
    <w:name w:val="heading 1"/>
    <w:basedOn w:val="1"/>
    <w:next w:val="1"/>
    <w:qFormat/>
    <w:uiPriority w:val="0"/>
    <w:pPr>
      <w:keepNext/>
      <w:keepLines/>
      <w:spacing w:before="100" w:beforeLines="100" w:after="100" w:afterLines="100"/>
      <w:outlineLvl w:val="0"/>
    </w:pPr>
    <w:rPr>
      <w:rFonts w:eastAsia="黑体"/>
      <w:b/>
      <w:kern w:val="44"/>
      <w:sz w:val="36"/>
    </w:rPr>
  </w:style>
  <w:style w:type="paragraph" w:styleId="4">
    <w:name w:val="heading 2"/>
    <w:basedOn w:val="1"/>
    <w:next w:val="1"/>
    <w:unhideWhenUsed/>
    <w:qFormat/>
    <w:uiPriority w:val="0"/>
    <w:pPr>
      <w:keepNext/>
      <w:keepLines/>
      <w:spacing w:before="100" w:beforeLines="100" w:after="100" w:afterLines="100"/>
      <w:outlineLvl w:val="1"/>
    </w:pPr>
    <w:rPr>
      <w:rFonts w:eastAsia="黑体" w:asciiTheme="majorHAnsi" w:hAnsiTheme="majorHAnsi" w:cstheme="majorBidi"/>
      <w:b/>
      <w:bCs/>
      <w:szCs w:val="32"/>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30"/>
    <w:qFormat/>
    <w:uiPriority w:val="0"/>
    <w:pPr>
      <w:spacing w:line="480" w:lineRule="auto"/>
      <w:ind w:left="420" w:leftChars="200"/>
    </w:pPr>
  </w:style>
  <w:style w:type="paragraph" w:styleId="6">
    <w:name w:val="Normal Indent"/>
    <w:basedOn w:val="1"/>
    <w:unhideWhenUsed/>
    <w:qFormat/>
    <w:uiPriority w:val="99"/>
    <w:rPr>
      <w:rFonts w:ascii="Times New Roman" w:hAnsi="Times New Roman" w:eastAsia="宋体" w:cs="Times New Roman"/>
      <w:sz w:val="24"/>
      <w:szCs w:val="20"/>
    </w:rPr>
  </w:style>
  <w:style w:type="paragraph" w:styleId="7">
    <w:name w:val="annotation text"/>
    <w:basedOn w:val="1"/>
    <w:link w:val="29"/>
    <w:qFormat/>
    <w:uiPriority w:val="0"/>
    <w:pPr>
      <w:jc w:val="left"/>
    </w:pPr>
  </w:style>
  <w:style w:type="paragraph" w:styleId="8">
    <w:name w:val="Body Text Indent"/>
    <w:basedOn w:val="1"/>
    <w:link w:val="26"/>
    <w:semiHidden/>
    <w:unhideWhenUsed/>
    <w:qFormat/>
    <w:uiPriority w:val="99"/>
    <w:pPr>
      <w:spacing w:after="120"/>
      <w:ind w:left="420" w:leftChars="200"/>
    </w:pPr>
  </w:style>
  <w:style w:type="paragraph" w:styleId="9">
    <w:name w:val="Plain Text"/>
    <w:basedOn w:val="1"/>
    <w:qFormat/>
    <w:uiPriority w:val="0"/>
    <w:rPr>
      <w:rFonts w:ascii="宋体" w:hAnsi="Courier New"/>
    </w:rPr>
  </w:style>
  <w:style w:type="paragraph" w:styleId="10">
    <w:name w:val="Balloon Text"/>
    <w:basedOn w:val="1"/>
    <w:next w:val="1"/>
    <w:link w:val="28"/>
    <w:qFormat/>
    <w:uiPriority w:val="0"/>
    <w:pPr>
      <w:ind w:firstLine="0" w:firstLineChars="0"/>
    </w:pPr>
    <w:rPr>
      <w:rFonts w:eastAsiaTheme="minorEastAsia"/>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39"/>
  </w:style>
  <w:style w:type="paragraph" w:styleId="14">
    <w:name w:val="table of figures"/>
    <w:basedOn w:val="1"/>
    <w:next w:val="1"/>
    <w:qFormat/>
    <w:uiPriority w:val="0"/>
    <w:pPr>
      <w:ind w:left="200" w:leftChars="200" w:hanging="200" w:hangingChars="200"/>
    </w:pPr>
  </w:style>
  <w:style w:type="paragraph" w:styleId="15">
    <w:name w:val="toc 2"/>
    <w:basedOn w:val="1"/>
    <w:next w:val="1"/>
    <w:qFormat/>
    <w:uiPriority w:val="39"/>
    <w:pPr>
      <w:ind w:left="420" w:leftChars="200"/>
    </w:pPr>
  </w:style>
  <w:style w:type="paragraph" w:styleId="16">
    <w:name w:val="Normal (Web)"/>
    <w:basedOn w:val="1"/>
    <w:qFormat/>
    <w:uiPriority w:val="0"/>
    <w:pPr>
      <w:spacing w:beforeAutospacing="1" w:afterAutospacing="1"/>
      <w:jc w:val="left"/>
    </w:pPr>
    <w:rPr>
      <w:kern w:val="0"/>
      <w:sz w:val="24"/>
    </w:rPr>
  </w:style>
  <w:style w:type="paragraph" w:styleId="17">
    <w:name w:val="Body Text First Indent 2"/>
    <w:basedOn w:val="8"/>
    <w:next w:val="1"/>
    <w:link w:val="27"/>
    <w:qFormat/>
    <w:uiPriority w:val="0"/>
    <w:pPr>
      <w:ind w:firstLine="42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Emphasis"/>
    <w:basedOn w:val="20"/>
    <w:qFormat/>
    <w:uiPriority w:val="20"/>
    <w:rPr>
      <w:i/>
      <w:iCs/>
    </w:rPr>
  </w:style>
  <w:style w:type="character" w:styleId="23">
    <w:name w:val="Hyperlink"/>
    <w:basedOn w:val="20"/>
    <w:unhideWhenUsed/>
    <w:qFormat/>
    <w:uiPriority w:val="99"/>
    <w:rPr>
      <w:color w:val="0026E5" w:themeColor="hyperlink"/>
      <w:u w:val="single"/>
      <w14:textFill>
        <w14:solidFill>
          <w14:schemeClr w14:val="hlink"/>
        </w14:solidFill>
      </w14:textFill>
    </w:rPr>
  </w:style>
  <w:style w:type="character" w:styleId="24">
    <w:name w:val="annotation reference"/>
    <w:basedOn w:val="20"/>
    <w:qFormat/>
    <w:uiPriority w:val="0"/>
    <w:rPr>
      <w:sz w:val="21"/>
      <w:szCs w:val="21"/>
    </w:rPr>
  </w:style>
  <w:style w:type="paragraph" w:customStyle="1" w:styleId="25">
    <w:name w:val="样式1"/>
    <w:basedOn w:val="14"/>
    <w:qFormat/>
    <w:uiPriority w:val="0"/>
    <w:pPr>
      <w:ind w:firstLine="643"/>
    </w:pPr>
    <w:rPr>
      <w:rFonts w:ascii="Times New Roman" w:hAnsi="Times New Roman" w:eastAsia="楷体" w:cs="Times New Roman"/>
      <w:sz w:val="28"/>
      <w:szCs w:val="28"/>
    </w:rPr>
  </w:style>
  <w:style w:type="character" w:customStyle="1" w:styleId="26">
    <w:name w:val="正文文本缩进 字符"/>
    <w:basedOn w:val="20"/>
    <w:link w:val="8"/>
    <w:semiHidden/>
    <w:qFormat/>
    <w:uiPriority w:val="99"/>
    <w:rPr>
      <w:rFonts w:eastAsia="仿宋" w:asciiTheme="minorHAnsi" w:hAnsiTheme="minorHAnsi" w:cstheme="minorBidi"/>
      <w:kern w:val="2"/>
      <w:sz w:val="32"/>
      <w:szCs w:val="24"/>
    </w:rPr>
  </w:style>
  <w:style w:type="character" w:customStyle="1" w:styleId="27">
    <w:name w:val="正文文本首行缩进 2 字符"/>
    <w:basedOn w:val="26"/>
    <w:link w:val="17"/>
    <w:qFormat/>
    <w:uiPriority w:val="0"/>
    <w:rPr>
      <w:rFonts w:eastAsia="仿宋" w:asciiTheme="minorHAnsi" w:hAnsiTheme="minorHAnsi" w:cstheme="minorBidi"/>
      <w:kern w:val="2"/>
      <w:sz w:val="32"/>
      <w:szCs w:val="24"/>
    </w:rPr>
  </w:style>
  <w:style w:type="character" w:customStyle="1" w:styleId="28">
    <w:name w:val="批注框文本 字符"/>
    <w:basedOn w:val="20"/>
    <w:link w:val="10"/>
    <w:qFormat/>
    <w:uiPriority w:val="0"/>
    <w:rPr>
      <w:rFonts w:asciiTheme="minorHAnsi" w:hAnsiTheme="minorHAnsi" w:eastAsiaTheme="minorEastAsia" w:cstheme="minorBidi"/>
      <w:kern w:val="2"/>
      <w:sz w:val="18"/>
      <w:szCs w:val="18"/>
    </w:rPr>
  </w:style>
  <w:style w:type="character" w:customStyle="1" w:styleId="29">
    <w:name w:val="批注文字 字符"/>
    <w:basedOn w:val="20"/>
    <w:link w:val="7"/>
    <w:qFormat/>
    <w:uiPriority w:val="0"/>
    <w:rPr>
      <w:rFonts w:eastAsia="仿宋" w:asciiTheme="minorHAnsi" w:hAnsiTheme="minorHAnsi" w:cstheme="minorBidi"/>
      <w:kern w:val="2"/>
      <w:sz w:val="32"/>
      <w:szCs w:val="24"/>
    </w:rPr>
  </w:style>
  <w:style w:type="character" w:customStyle="1" w:styleId="30">
    <w:name w:val="正文文本缩进 2 字符"/>
    <w:basedOn w:val="20"/>
    <w:link w:val="2"/>
    <w:qFormat/>
    <w:uiPriority w:val="0"/>
    <w:rPr>
      <w:rFonts w:eastAsia="仿宋" w:asciiTheme="minorHAnsi" w:hAnsiTheme="minorHAnsi" w:cstheme="minorBidi"/>
      <w:kern w:val="2"/>
      <w:sz w:val="32"/>
      <w:szCs w:val="24"/>
    </w:rPr>
  </w:style>
  <w:style w:type="paragraph" w:customStyle="1" w:styleId="31">
    <w:name w:val="b-free-read-leaf"/>
    <w:basedOn w:val="1"/>
    <w:qFormat/>
    <w:uiPriority w:val="0"/>
    <w:pPr>
      <w:widowControl/>
      <w:spacing w:before="100" w:beforeAutospacing="1" w:after="100" w:afterAutospacing="1"/>
      <w:ind w:firstLine="0" w:firstLineChars="0"/>
      <w:jc w:val="left"/>
    </w:pPr>
    <w:rPr>
      <w:rFonts w:ascii="宋体" w:hAnsi="宋体" w:eastAsia="宋体" w:cs="宋体"/>
      <w:kern w:val="0"/>
      <w:sz w:val="24"/>
    </w:rPr>
  </w:style>
  <w:style w:type="paragraph" w:customStyle="1" w:styleId="32">
    <w:name w:val="Table Paragraph"/>
    <w:basedOn w:val="1"/>
    <w:qFormat/>
    <w:uiPriority w:val="1"/>
    <w:pPr>
      <w:ind w:firstLine="0" w:firstLineChars="0"/>
    </w:pPr>
    <w:rPr>
      <w:rFonts w:ascii="Calibri" w:hAnsi="Calibri" w:eastAsia="宋体" w:cs="Times New Roman"/>
      <w:sz w:val="21"/>
    </w:rPr>
  </w:style>
  <w:style w:type="paragraph" w:customStyle="1" w:styleId="33">
    <w:name w:val="列出段落1"/>
    <w:basedOn w:val="1"/>
    <w:qFormat/>
    <w:uiPriority w:val="34"/>
    <w:pPr>
      <w:ind w:firstLine="420"/>
    </w:pPr>
  </w:style>
  <w:style w:type="paragraph" w:customStyle="1" w:styleId="34">
    <w:name w:val="表格样式"/>
    <w:basedOn w:val="14"/>
    <w:qFormat/>
    <w:uiPriority w:val="0"/>
    <w:pPr>
      <w:ind w:firstLine="643"/>
    </w:pPr>
    <w:rPr>
      <w:rFonts w:ascii="Times New Roman" w:hAnsi="Times New Roman" w:eastAsia="楷体" w:cs="Times New Roman"/>
      <w:sz w:val="28"/>
      <w:szCs w:val="28"/>
    </w:rPr>
  </w:style>
  <w:style w:type="paragraph" w:customStyle="1" w:styleId="35">
    <w:name w:val="Fließtext"/>
    <w:qFormat/>
    <w:uiPriority w:val="99"/>
    <w:pPr>
      <w:widowControl w:val="0"/>
      <w:overflowPunct w:val="0"/>
      <w:autoSpaceDE w:val="0"/>
      <w:autoSpaceDN w:val="0"/>
      <w:adjustRightInd w:val="0"/>
      <w:jc w:val="both"/>
      <w:textAlignment w:val="baseline"/>
    </w:pPr>
    <w:rPr>
      <w:rFonts w:ascii="Times New Roman" w:hAnsi="Times New Roman" w:eastAsia="宋体" w:cs="Times New Roman"/>
      <w:kern w:val="28"/>
      <w:sz w:val="24"/>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3.xml"/><Relationship Id="rId13" Type="http://schemas.openxmlformats.org/officeDocument/2006/relationships/header" Target="header2.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2D8101-7AC8-4D76-8805-4FEE4A532330}">
  <ds:schemaRefs/>
</ds:datastoreItem>
</file>

<file path=docProps/app.xml><?xml version="1.0" encoding="utf-8"?>
<Properties xmlns="http://schemas.openxmlformats.org/officeDocument/2006/extended-properties" xmlns:vt="http://schemas.openxmlformats.org/officeDocument/2006/docPropsVTypes">
  <Template>Normal</Template>
  <Pages>143</Pages>
  <Words>1281</Words>
  <Characters>1386</Characters>
  <Lines>1794</Lines>
  <Paragraphs>874</Paragraphs>
  <TotalTime>14</TotalTime>
  <ScaleCrop>false</ScaleCrop>
  <LinksUpToDate>false</LinksUpToDate>
  <CharactersWithSpaces>1709</CharactersWithSpaces>
  <Application>WPS Office_11.8.2.12320_F1E327BC-269C-435d-A152-05C5408002CA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2026-05-22T16:39:00Z</dcterms:created>
  <dc:creator>长安驿客 张业圳</dc:creator>
  <cp:lastModifiedBy>Huawei</cp:lastModifiedBy>
  <cp:lastPrinted>2026-07-10T00:13:00Z</cp:lastPrinted>
  <dcterms:modified xsi:type="dcterms:W3CDTF">2026-08-10T11:22:32Z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2052-11.8.2.12320</vt:lpwstr>
  </property>
  <property fmtid="{D5CDD505-2E9C-101B-9397-08002B2CF9AE}" pid="3" name="ICV">
    <vt:lpwstr>64E6033F454D4D09A6C2804C924DA469_13</vt:lpwstr>
  </property>
  <property fmtid="{D5CDD505-2E9C-101B-9397-08002B2CF9AE}" pid="4" name="KSOTemplateDocerSaveRecord">
    <vt:lpwstr>eyJoZGlkIjoiYWEzODczOTNjNTY5YTkzNmU4ZTVmZWI1NjE2ZjdmNGIiLCJ1c2VySWQiOiI5ODg0MTMwOTcifQ==</vt:lpwstr>
  </property>
</Properties>
</file>