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20" w:lineRule="exact"/>
        <w:ind w:left="0" w:right="0"/>
        <w:jc w:val="left"/>
        <w:rPr>
          <w:rFonts w:hint="eastAsia" w:ascii="黑体" w:eastAsia="黑体"/>
          <w:color w:val="000000"/>
          <w:sz w:val="28"/>
          <w:szCs w:val="28"/>
          <w:lang w:val="en-US" w:eastAsia="zh-CN"/>
        </w:rPr>
      </w:pPr>
      <w:bookmarkStart w:id="0" w:name="_GoBack"/>
      <w:bookmarkEnd w:id="0"/>
      <w:r>
        <w:rPr>
          <w:rFonts w:hint="eastAsia" w:ascii="黑体" w:eastAsia="黑体"/>
          <w:color w:val="000000"/>
          <w:sz w:val="28"/>
          <w:szCs w:val="28"/>
          <w:lang w:val="en-US" w:eastAsia="zh-CN"/>
        </w:rPr>
        <w:t>附件2</w:t>
      </w:r>
    </w:p>
    <w:p>
      <w:pPr>
        <w:keepNext w:val="0"/>
        <w:keepLines w:val="0"/>
        <w:widowControl/>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pPr>
      <w: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t>尤溪县高校毕业生服务社区计划报名人员</w:t>
      </w:r>
    </w:p>
    <w:p>
      <w:pPr>
        <w:keepNext w:val="0"/>
        <w:keepLines w:val="0"/>
        <w:widowControl/>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pPr>
      <w: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t>量化考核评分标准</w:t>
      </w:r>
    </w:p>
    <w:p>
      <w:pPr>
        <w:keepNext w:val="0"/>
        <w:keepLines w:val="0"/>
        <w:widowControl/>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pPr>
    </w:p>
    <w:tbl>
      <w:tblPr>
        <w:tblStyle w:val="5"/>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4858"/>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z w:val="21"/>
                <w:szCs w:val="24"/>
                <w:highlight w:val="none"/>
                <w:lang w:val="en-US"/>
              </w:rPr>
            </w:pPr>
            <w:r>
              <w:rPr>
                <w:rFonts w:hint="eastAsia" w:ascii="仿宋_GB2312" w:hAnsi="Calibri" w:eastAsia="宋体" w:cs="宋体"/>
                <w:b/>
                <w:bCs w:val="0"/>
                <w:color w:val="auto"/>
                <w:kern w:val="2"/>
                <w:sz w:val="24"/>
                <w:szCs w:val="32"/>
                <w:highlight w:val="none"/>
                <w:lang w:val="en-US" w:eastAsia="zh-CN" w:bidi="ar"/>
              </w:rPr>
              <w:t>评分项目</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z w:val="21"/>
                <w:szCs w:val="24"/>
                <w:highlight w:val="none"/>
                <w:lang w:val="en-US"/>
              </w:rPr>
            </w:pPr>
            <w:r>
              <w:rPr>
                <w:rFonts w:hint="eastAsia" w:ascii="仿宋_GB2312" w:hAnsi="Calibri" w:eastAsia="宋体" w:cs="宋体"/>
                <w:b/>
                <w:bCs w:val="0"/>
                <w:color w:val="auto"/>
                <w:kern w:val="2"/>
                <w:sz w:val="24"/>
                <w:szCs w:val="32"/>
                <w:highlight w:val="none"/>
                <w:lang w:val="en-US" w:eastAsia="zh-CN" w:bidi="ar"/>
              </w:rPr>
              <w:t>评分细项</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z w:val="21"/>
                <w:szCs w:val="24"/>
                <w:highlight w:val="none"/>
                <w:lang w:val="en-US"/>
              </w:rPr>
            </w:pPr>
            <w:r>
              <w:rPr>
                <w:rFonts w:hint="eastAsia" w:ascii="仿宋_GB2312" w:hAnsi="Calibri" w:eastAsia="宋体" w:cs="宋体"/>
                <w:b/>
                <w:bCs w:val="0"/>
                <w:color w:val="auto"/>
                <w:kern w:val="2"/>
                <w:sz w:val="24"/>
                <w:szCs w:val="32"/>
                <w:highlight w:val="none"/>
                <w:lang w:val="en-US" w:eastAsia="zh-CN" w:bidi="ar"/>
              </w:rPr>
              <w:t>评分指标</w:t>
            </w:r>
          </w:p>
        </w:tc>
        <w:tc>
          <w:tcPr>
            <w:tcW w:w="3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z w:val="21"/>
                <w:szCs w:val="24"/>
                <w:highlight w:val="none"/>
                <w:lang w:val="en-US"/>
              </w:rPr>
            </w:pPr>
            <w:r>
              <w:rPr>
                <w:rFonts w:hint="eastAsia" w:ascii="仿宋_GB2312" w:hAnsi="Calibri" w:eastAsia="宋体" w:cs="宋体"/>
                <w:b/>
                <w:bCs w:val="0"/>
                <w:color w:val="auto"/>
                <w:kern w:val="2"/>
                <w:sz w:val="24"/>
                <w:szCs w:val="32"/>
                <w:highlight w:val="none"/>
                <w:lang w:val="en-US" w:eastAsia="zh-CN" w:bidi="ar"/>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00"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个人基本情况</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w:t>
            </w:r>
            <w:r>
              <w:rPr>
                <w:rFonts w:hint="default" w:ascii="仿宋_GB2312" w:hAnsi="仿宋_GB2312" w:eastAsia="仿宋_GB2312" w:cs="仿宋_GB2312"/>
                <w:color w:val="auto"/>
                <w:kern w:val="2"/>
                <w:sz w:val="24"/>
                <w:szCs w:val="24"/>
                <w:highlight w:val="none"/>
                <w:lang w:val="en-US" w:eastAsia="zh-CN" w:bidi="ar"/>
              </w:rPr>
              <w:t>55</w:t>
            </w:r>
            <w:r>
              <w:rPr>
                <w:rFonts w:hint="eastAsia" w:ascii="仿宋_GB2312" w:hAnsi="仿宋_GB2312" w:eastAsia="仿宋_GB2312" w:cs="仿宋_GB2312"/>
                <w:color w:val="auto"/>
                <w:kern w:val="2"/>
                <w:sz w:val="24"/>
                <w:szCs w:val="24"/>
                <w:highlight w:val="none"/>
                <w:lang w:val="en-US" w:eastAsia="zh-CN" w:bidi="ar"/>
              </w:rPr>
              <w:t>分）</w:t>
            </w:r>
          </w:p>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p>
        </w:tc>
        <w:tc>
          <w:tcPr>
            <w:tcW w:w="1440"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政治面貌</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（5分）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中共党员（5分）</w:t>
            </w:r>
          </w:p>
        </w:tc>
        <w:tc>
          <w:tcPr>
            <w:tcW w:w="3155"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中共预备党员（3分）</w:t>
            </w:r>
          </w:p>
        </w:tc>
        <w:tc>
          <w:tcPr>
            <w:tcW w:w="3155"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共青团员（1分）</w:t>
            </w:r>
          </w:p>
        </w:tc>
        <w:tc>
          <w:tcPr>
            <w:tcW w:w="3155" w:type="dxa"/>
            <w:vMerge w:val="continue"/>
            <w:tcBorders>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院校类别</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w:t>
            </w:r>
            <w:r>
              <w:rPr>
                <w:rFonts w:hint="eastAsia" w:ascii="仿宋_GB2312" w:hAnsi="仿宋_GB2312" w:eastAsia="仿宋_GB2312" w:cs="仿宋_GB2312"/>
                <w:strike w:val="0"/>
                <w:dstrike w:val="0"/>
                <w:color w:val="auto"/>
                <w:kern w:val="2"/>
                <w:sz w:val="24"/>
                <w:szCs w:val="24"/>
                <w:highlight w:val="none"/>
                <w:lang w:val="en-US" w:eastAsia="zh-CN" w:bidi="ar"/>
              </w:rPr>
              <w:t>15</w:t>
            </w:r>
            <w:r>
              <w:rPr>
                <w:rFonts w:hint="eastAsia" w:ascii="仿宋_GB2312" w:hAnsi="仿宋_GB2312" w:eastAsia="仿宋_GB2312" w:cs="仿宋_GB2312"/>
                <w:color w:val="auto"/>
                <w:kern w:val="2"/>
                <w:sz w:val="24"/>
                <w:szCs w:val="24"/>
                <w:highlight w:val="none"/>
                <w:lang w:val="en-US" w:eastAsia="zh-CN" w:bidi="ar"/>
              </w:rPr>
              <w:t>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全国“双一流”建设高校、进入QS世界大学排名榜单的港澳台院校（15分）</w:t>
            </w:r>
          </w:p>
        </w:tc>
        <w:tc>
          <w:tcPr>
            <w:tcW w:w="31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根据教育部门公布院校名单和QS世界大学排名榜单。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福建省“双一流”建设高校（12分）</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其他院校（10分）</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全日制学历层次</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（20分）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研究生学历（20分）</w:t>
            </w:r>
          </w:p>
        </w:tc>
        <w:tc>
          <w:tcPr>
            <w:tcW w:w="31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
              </w:rPr>
              <w:t>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双学士学位学历（17分）</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本科学历（15分）</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专科学历（10分）</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困难状况</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（5分）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困难毕业生（城乡低保家庭毕业生）（5分）</w:t>
            </w:r>
          </w:p>
        </w:tc>
        <w:tc>
          <w:tcPr>
            <w:tcW w:w="315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900"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有申请国家助学贷款（2分）</w:t>
            </w:r>
          </w:p>
        </w:tc>
        <w:tc>
          <w:tcPr>
            <w:tcW w:w="3155" w:type="dxa"/>
            <w:vMerge w:val="continue"/>
            <w:tcBorders>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0" w:type="dxa"/>
            <w:vMerge w:val="continue"/>
            <w:tcBorders>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1440"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烈士子女（2分）</w:t>
            </w:r>
          </w:p>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烈士子女，因公牺牲的国家机关工作人员、人民警察和军人的子女（2分）</w:t>
            </w:r>
          </w:p>
        </w:tc>
        <w:tc>
          <w:tcPr>
            <w:tcW w:w="3155"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strike/>
                <w:dstrike w:val="0"/>
                <w:color w:val="FF0000"/>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900" w:type="dxa"/>
            <w:vMerge w:val="continue"/>
            <w:tcBorders>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1440" w:type="dxa"/>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残疾人学生（2分）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残疾人学生（2分）</w:t>
            </w:r>
          </w:p>
        </w:tc>
        <w:tc>
          <w:tcPr>
            <w:tcW w:w="3155"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strike w:val="0"/>
                <w:dstrike w:val="0"/>
                <w:color w:val="FF0000"/>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00" w:type="dxa"/>
            <w:vMerge w:val="continue"/>
            <w:tcBorders>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1440" w:type="dxa"/>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退役大学生士兵（2分）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退役大学生士兵（2分）</w:t>
            </w:r>
          </w:p>
        </w:tc>
        <w:tc>
          <w:tcPr>
            <w:tcW w:w="3155" w:type="dxa"/>
            <w:vMerge w:val="continue"/>
            <w:tcBorders>
              <w:left w:val="single" w:color="auto" w:sz="4" w:space="0"/>
              <w:right w:val="single" w:color="auto" w:sz="4" w:space="0"/>
            </w:tcBorders>
            <w:vAlign w:val="center"/>
          </w:tcPr>
          <w:p>
            <w:pPr>
              <w:jc w:val="both"/>
              <w:rPr>
                <w:rFonts w:hint="eastAsia" w:ascii="仿宋_GB2312" w:hAnsi="仿宋_GB2312" w:eastAsia="仿宋_GB2312" w:cs="仿宋_GB2312"/>
                <w:strike w:val="0"/>
                <w:dstrike w:val="0"/>
                <w:color w:val="FF0000"/>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00" w:type="dxa"/>
            <w:vMerge w:val="continue"/>
            <w:tcBorders>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1440" w:type="dxa"/>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少数民族大学生（2分）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少数民族大学生（2分）</w:t>
            </w:r>
          </w:p>
        </w:tc>
        <w:tc>
          <w:tcPr>
            <w:tcW w:w="3155" w:type="dxa"/>
            <w:vMerge w:val="continue"/>
            <w:tcBorders>
              <w:left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0" w:type="dxa"/>
            <w:vMerge w:val="continue"/>
            <w:tcBorders>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1440"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归侨、华侨、港澳台（2分）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归侨及归侨子女、华侨子女、台湾香港澳门籍考生（2分）</w:t>
            </w:r>
          </w:p>
        </w:tc>
        <w:tc>
          <w:tcPr>
            <w:tcW w:w="3155" w:type="dxa"/>
            <w:vMerge w:val="continue"/>
            <w:tcBorders>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300" w:lineRule="exact"/>
              <w:ind w:left="0" w:right="0"/>
              <w:jc w:val="both"/>
              <w:rPr>
                <w:rFonts w:hint="eastAsia" w:ascii="仿宋_GB2312" w:hAnsi="仿宋_GB2312" w:eastAsia="仿宋_GB2312" w:cs="仿宋_GB2312"/>
                <w:color w:val="auto"/>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在校表现情况</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（25分）</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在校表现情况</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pacing w:val="-11"/>
                <w:kern w:val="2"/>
                <w:sz w:val="24"/>
                <w:szCs w:val="24"/>
                <w:highlight w:val="none"/>
                <w:lang w:val="en-US" w:eastAsia="zh-CN" w:bidi="ar"/>
              </w:rPr>
              <w:t>（25分）</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专业成绩排名情况</w:t>
            </w:r>
          </w:p>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（10分）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专业成绩排名前5%（10分）</w:t>
            </w:r>
          </w:p>
        </w:tc>
        <w:tc>
          <w:tcPr>
            <w:tcW w:w="3155"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以院校出具的全部学年学科总成绩专业排名为依据；应届毕业生在审核时最后一学期（学年）成绩未公布的，按已完成学年学科总成绩排名核算，排名比例四舍五入计算。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专业成绩排名每增加1%，分数减少0.2分，如6%（9.8分）、7%（9.6分），以此类推，45%（1.2分）、50%（1分）</w:t>
            </w:r>
          </w:p>
        </w:tc>
        <w:tc>
          <w:tcPr>
            <w:tcW w:w="3155" w:type="dxa"/>
            <w:vMerge w:val="continue"/>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专业成绩排名50%及以外不得分</w:t>
            </w:r>
          </w:p>
        </w:tc>
        <w:tc>
          <w:tcPr>
            <w:tcW w:w="3155" w:type="dxa"/>
            <w:vMerge w:val="continue"/>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参加学生组织（5分）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担任校学生会主席、校团委副书记、校社团联合会会长、校自律委员会主任、校青年志愿者协会会长职务（5分）；2.担任校学生会副主席、校社团联合会副会长、校自律委员会副主任、校青年志愿者协会副会长，院（系）级学生会主席、团委副书记、自律委员会主任、校学生会（团委）部长职务（4分）；3.担任院（系）学生会（团委）部长、在班级担任班长、团支部书记职务、校学生会（团委）副部长（3分）；4.担任院（系）学生会（团委）副部长、在班级担任副班长、团支部副书记职务（2分）；5.担任校和院（系）其他协会（社团）会长或副会长职务1学年以上（除上述1-4点外）、在班级担任其他班委职务（1分）</w:t>
            </w:r>
          </w:p>
        </w:tc>
        <w:tc>
          <w:tcPr>
            <w:tcW w:w="3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提交证明材料。担任职务1个学年以上，取最高分，不累加。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获得荣誉（奖学金、奖项）情况（</w:t>
            </w:r>
            <w:r>
              <w:rPr>
                <w:rFonts w:hint="eastAsia" w:ascii="仿宋_GB2312" w:hAnsi="仿宋_GB2312" w:eastAsia="仿宋_GB2312" w:cs="仿宋_GB2312"/>
                <w:strike w:val="0"/>
                <w:dstrike w:val="0"/>
                <w:color w:val="auto"/>
                <w:kern w:val="2"/>
                <w:sz w:val="24"/>
                <w:szCs w:val="24"/>
                <w:highlight w:val="none"/>
                <w:lang w:val="en-US" w:eastAsia="zh-CN" w:bidi="ar"/>
              </w:rPr>
              <w:t>10</w:t>
            </w:r>
            <w:r>
              <w:rPr>
                <w:rFonts w:hint="eastAsia" w:ascii="仿宋_GB2312" w:hAnsi="仿宋_GB2312" w:eastAsia="仿宋_GB2312" w:cs="仿宋_GB2312"/>
                <w:color w:val="auto"/>
                <w:kern w:val="2"/>
                <w:sz w:val="24"/>
                <w:szCs w:val="24"/>
                <w:highlight w:val="none"/>
                <w:lang w:val="en-US" w:eastAsia="zh-CN" w:bidi="ar"/>
              </w:rPr>
              <w:t>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获得国家级赛事奖项；获得省级及以上荣誉（奖学金）（</w:t>
            </w:r>
            <w:r>
              <w:rPr>
                <w:rFonts w:hint="eastAsia" w:ascii="仿宋_GB2312" w:hAnsi="仿宋_GB2312" w:eastAsia="仿宋_GB2312" w:cs="仿宋_GB2312"/>
                <w:strike w:val="0"/>
                <w:dstrike w:val="0"/>
                <w:color w:val="auto"/>
                <w:kern w:val="2"/>
                <w:sz w:val="24"/>
                <w:szCs w:val="24"/>
                <w:highlight w:val="none"/>
                <w:lang w:val="en-US" w:eastAsia="zh-CN" w:bidi="ar"/>
              </w:rPr>
              <w:t>10分</w:t>
            </w:r>
            <w:r>
              <w:rPr>
                <w:rFonts w:hint="eastAsia" w:ascii="仿宋_GB2312" w:hAnsi="仿宋_GB2312" w:eastAsia="仿宋_GB2312" w:cs="仿宋_GB2312"/>
                <w:color w:val="auto"/>
                <w:kern w:val="2"/>
                <w:sz w:val="24"/>
                <w:szCs w:val="24"/>
                <w:highlight w:val="none"/>
                <w:lang w:val="en-US" w:eastAsia="zh-CN" w:bidi="ar"/>
              </w:rPr>
              <w:t>）</w:t>
            </w:r>
          </w:p>
        </w:tc>
        <w:tc>
          <w:tcPr>
            <w:tcW w:w="3155"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1.荣誉含省级及以上、市级、校级优秀学生干部、优秀学生、优秀团干部、三好学生、优秀毕业生。</w:t>
            </w:r>
          </w:p>
          <w:p>
            <w:pPr>
              <w:keepNext w:val="0"/>
              <w:keepLines w:val="0"/>
              <w:widowControl w:val="0"/>
              <w:suppressLineNumbers w:val="0"/>
              <w:snapToGrid w:val="0"/>
              <w:spacing w:before="0" w:beforeAutospacing="0" w:after="0" w:afterAutospacing="0" w:line="300" w:lineRule="exact"/>
              <w:ind w:left="0" w:right="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2.奖学金不含社会捐助类、助学金；国家励志奖学金等校级以上家庭经济困难类奖学金按照校级奖学金评分，已享受困难状况加分的不重复计分。</w:t>
            </w:r>
          </w:p>
          <w:p>
            <w:pPr>
              <w:keepNext w:val="0"/>
              <w:keepLines w:val="0"/>
              <w:widowControl w:val="0"/>
              <w:suppressLineNumbers w:val="0"/>
              <w:snapToGrid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3.奖项指省级及以上赛事奖项，包括政府部门主办职业技能大赛、职业规划大赛、创新创业大赛三等奖及以上、大中专毕业生创业省级资助，教育部认可赛事奖项（不含社会组织主办）。报名人员提交证书，取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获得市级荣誉（奖学金）</w:t>
            </w:r>
            <w:r>
              <w:rPr>
                <w:rFonts w:hint="eastAsia" w:ascii="仿宋_GB2312" w:hAnsi="仿宋_GB2312" w:eastAsia="仿宋_GB2312" w:cs="仿宋_GB2312"/>
                <w:strike w:val="0"/>
                <w:dstrike w:val="0"/>
                <w:color w:val="auto"/>
                <w:kern w:val="2"/>
                <w:sz w:val="24"/>
                <w:szCs w:val="24"/>
                <w:highlight w:val="none"/>
                <w:lang w:val="en-US" w:eastAsia="zh-CN" w:bidi="ar"/>
              </w:rPr>
              <w:t>（8分）</w:t>
            </w:r>
          </w:p>
        </w:tc>
        <w:tc>
          <w:tcPr>
            <w:tcW w:w="3155" w:type="dxa"/>
            <w:vMerge w:val="continue"/>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9"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auto"/>
                <w:sz w:val="24"/>
                <w:szCs w:val="24"/>
                <w:highlight w:val="none"/>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获得省级赛事（活动）奖项；获得校级荣誉（奖学金，含校级以上家庭经济困难学生奖学金）</w:t>
            </w:r>
            <w:r>
              <w:rPr>
                <w:rFonts w:hint="eastAsia" w:ascii="仿宋_GB2312" w:hAnsi="仿宋_GB2312" w:eastAsia="仿宋_GB2312" w:cs="仿宋_GB2312"/>
                <w:strike w:val="0"/>
                <w:dstrike w:val="0"/>
                <w:color w:val="auto"/>
                <w:kern w:val="2"/>
                <w:sz w:val="24"/>
                <w:szCs w:val="24"/>
                <w:highlight w:val="none"/>
                <w:lang w:val="en-US" w:eastAsia="zh-CN" w:bidi="ar"/>
              </w:rPr>
              <w:t>（5分）</w:t>
            </w:r>
          </w:p>
        </w:tc>
        <w:tc>
          <w:tcPr>
            <w:tcW w:w="3155" w:type="dxa"/>
            <w:vMerge w:val="continue"/>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00" w:type="dxa"/>
            <w:vMerge w:val="restart"/>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岗位匹配情况</w:t>
            </w:r>
          </w:p>
          <w:p>
            <w:pPr>
              <w:jc w:val="both"/>
              <w:rPr>
                <w:rFonts w:hint="eastAsia" w:ascii="仿宋_GB2312" w:hAnsi="仿宋_GB2312" w:eastAsia="仿宋_GB2312" w:cs="仿宋_GB2312"/>
                <w:color w:val="auto"/>
                <w:kern w:val="2"/>
                <w:sz w:val="24"/>
                <w:szCs w:val="24"/>
                <w:highlight w:val="none"/>
                <w:lang w:val="en-US" w:eastAsia="zh-CN" w:bidi="ar"/>
              </w:rPr>
            </w:pPr>
            <w:r>
              <w:rPr>
                <w:rFonts w:hint="default" w:ascii="仿宋_GB2312" w:hAnsi="仿宋_GB2312" w:cs="仿宋_GB2312"/>
                <w:color w:val="auto"/>
                <w:spacing w:val="-11"/>
                <w:kern w:val="2"/>
                <w:sz w:val="24"/>
                <w:szCs w:val="24"/>
                <w:highlight w:val="none"/>
                <w:lang w:val="en-US" w:eastAsia="zh-CN" w:bidi="ar"/>
              </w:rPr>
              <w:t>(</w:t>
            </w:r>
            <w:r>
              <w:rPr>
                <w:rFonts w:hint="eastAsia" w:ascii="仿宋_GB2312" w:hAnsi="仿宋_GB2312" w:eastAsia="仿宋_GB2312" w:cs="仿宋_GB2312"/>
                <w:strike w:val="0"/>
                <w:dstrike w:val="0"/>
                <w:color w:val="auto"/>
                <w:spacing w:val="-11"/>
                <w:kern w:val="2"/>
                <w:sz w:val="24"/>
                <w:szCs w:val="24"/>
                <w:highlight w:val="none"/>
                <w:lang w:val="en-US" w:eastAsia="zh-CN" w:bidi="ar"/>
              </w:rPr>
              <w:t>2</w:t>
            </w:r>
            <w:r>
              <w:rPr>
                <w:rFonts w:hint="eastAsia" w:ascii="仿宋_GB2312" w:hAnsi="仿宋_GB2312" w:cs="仿宋_GB2312"/>
                <w:strike w:val="0"/>
                <w:dstrike w:val="0"/>
                <w:color w:val="auto"/>
                <w:spacing w:val="-11"/>
                <w:kern w:val="2"/>
                <w:sz w:val="24"/>
                <w:szCs w:val="24"/>
                <w:highlight w:val="none"/>
                <w:lang w:val="en-US" w:eastAsia="zh-CN" w:bidi="ar"/>
              </w:rPr>
              <w:t>0</w:t>
            </w:r>
            <w:r>
              <w:rPr>
                <w:rFonts w:hint="eastAsia" w:ascii="仿宋_GB2312" w:hAnsi="仿宋_GB2312" w:eastAsia="仿宋_GB2312" w:cs="仿宋_GB2312"/>
                <w:color w:val="auto"/>
                <w:spacing w:val="-11"/>
                <w:kern w:val="2"/>
                <w:sz w:val="24"/>
                <w:szCs w:val="24"/>
                <w:highlight w:val="none"/>
                <w:lang w:val="en-US" w:eastAsia="zh-CN" w:bidi="ar"/>
              </w:rPr>
              <w:t>分）</w:t>
            </w:r>
          </w:p>
        </w:tc>
        <w:tc>
          <w:tcPr>
            <w:tcW w:w="14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生源地（入学前户口所在地）</w:t>
            </w:r>
          </w:p>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（15分）</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leftChars="0" w:right="0" w:rightChars="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与所报名服务单位同县（市、区）（</w:t>
            </w:r>
            <w:r>
              <w:rPr>
                <w:rFonts w:hint="eastAsia" w:ascii="仿宋_GB2312" w:hAnsi="仿宋_GB2312" w:eastAsia="仿宋_GB2312" w:cs="仿宋_GB2312"/>
                <w:color w:val="auto"/>
                <w:kern w:val="2"/>
                <w:sz w:val="24"/>
                <w:szCs w:val="24"/>
                <w:highlight w:val="none"/>
                <w:lang w:val="en-US" w:eastAsia="zh-CN" w:bidi="ar"/>
              </w:rPr>
              <w:t>15</w:t>
            </w:r>
            <w:r>
              <w:rPr>
                <w:rFonts w:hint="eastAsia" w:ascii="仿宋_GB2312" w:hAnsi="仿宋_GB2312" w:eastAsia="仿宋_GB2312" w:cs="仿宋_GB2312"/>
                <w:color w:val="auto"/>
                <w:sz w:val="24"/>
                <w:szCs w:val="24"/>
                <w:highlight w:val="none"/>
                <w:lang w:val="en-US" w:eastAsia="zh-CN"/>
              </w:rPr>
              <w:t>分）</w:t>
            </w:r>
          </w:p>
        </w:tc>
        <w:tc>
          <w:tcPr>
            <w:tcW w:w="31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00" w:type="dxa"/>
            <w:vMerge w:val="continue"/>
            <w:tcBorders>
              <w:left w:val="single" w:color="auto" w:sz="4" w:space="0"/>
              <w:right w:val="single" w:color="auto" w:sz="4" w:space="0"/>
            </w:tcBorders>
            <w:vAlign w:val="center"/>
          </w:tcPr>
          <w:p>
            <w:pPr>
              <w:jc w:val="both"/>
              <w:rPr>
                <w:rFonts w:hint="default" w:ascii="仿宋_GB2312" w:hAnsi="仿宋_GB2312" w:cs="仿宋_GB2312"/>
                <w:color w:val="auto"/>
                <w:spacing w:val="-11"/>
                <w:kern w:val="2"/>
                <w:sz w:val="24"/>
                <w:szCs w:val="24"/>
                <w:highlight w:val="none"/>
                <w:lang w:val="en-US" w:eastAsia="zh-CN" w:bidi="ar"/>
              </w:rPr>
            </w:pPr>
          </w:p>
        </w:tc>
        <w:tc>
          <w:tcPr>
            <w:tcW w:w="144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leftChars="0" w:right="0" w:rightChars="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
              </w:rPr>
              <w:t>与所报名服务单位同设区市（</w:t>
            </w:r>
            <w:r>
              <w:rPr>
                <w:rFonts w:hint="default" w:ascii="仿宋_GB2312" w:hAnsi="仿宋_GB2312" w:eastAsia="仿宋_GB2312" w:cs="仿宋_GB2312"/>
                <w:color w:val="auto"/>
                <w:kern w:val="2"/>
                <w:sz w:val="24"/>
                <w:szCs w:val="24"/>
                <w:highlight w:val="none"/>
                <w:lang w:val="en-US" w:eastAsia="zh-CN" w:bidi="ar"/>
              </w:rPr>
              <w:t>10</w:t>
            </w:r>
            <w:r>
              <w:rPr>
                <w:rFonts w:hint="eastAsia" w:ascii="仿宋_GB2312" w:hAnsi="仿宋_GB2312" w:eastAsia="仿宋_GB2312" w:cs="仿宋_GB2312"/>
                <w:color w:val="auto"/>
                <w:kern w:val="2"/>
                <w:sz w:val="24"/>
                <w:szCs w:val="24"/>
                <w:highlight w:val="none"/>
                <w:lang w:val="en-US" w:eastAsia="zh-CN" w:bidi="ar"/>
              </w:rPr>
              <w:t>分）</w:t>
            </w:r>
          </w:p>
        </w:tc>
        <w:tc>
          <w:tcPr>
            <w:tcW w:w="31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00" w:type="dxa"/>
            <w:vMerge w:val="continue"/>
            <w:tcBorders>
              <w:left w:val="single" w:color="auto" w:sz="4" w:space="0"/>
              <w:right w:val="single" w:color="auto" w:sz="4" w:space="0"/>
            </w:tcBorders>
            <w:vAlign w:val="top"/>
          </w:tcPr>
          <w:p>
            <w:pPr>
              <w:jc w:val="both"/>
              <w:rPr>
                <w:rFonts w:hint="default" w:ascii="仿宋_GB2312" w:hAnsi="仿宋_GB2312" w:cs="仿宋_GB2312"/>
                <w:color w:val="auto"/>
                <w:spacing w:val="-11"/>
                <w:kern w:val="2"/>
                <w:sz w:val="24"/>
                <w:szCs w:val="24"/>
                <w:highlight w:val="none"/>
                <w:lang w:val="en-US" w:eastAsia="zh-CN" w:bidi="ar"/>
              </w:rPr>
            </w:pPr>
          </w:p>
        </w:tc>
        <w:tc>
          <w:tcPr>
            <w:tcW w:w="1440" w:type="dxa"/>
            <w:vMerge w:val="continue"/>
            <w:tcBorders>
              <w:left w:val="single" w:color="auto" w:sz="4" w:space="0"/>
              <w:right w:val="single" w:color="auto" w:sz="4" w:space="0"/>
            </w:tcBorders>
            <w:vAlign w:val="top"/>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c>
          <w:tcPr>
            <w:tcW w:w="4858" w:type="dxa"/>
            <w:vAlign w:val="center"/>
          </w:tcPr>
          <w:p>
            <w:pPr>
              <w:keepNext w:val="0"/>
              <w:keepLines w:val="0"/>
              <w:widowControl/>
              <w:suppressLineNumbers w:val="0"/>
              <w:spacing w:before="0" w:beforeAutospacing="0" w:after="0" w:afterAutospacing="0" w:line="300" w:lineRule="exact"/>
              <w:ind w:left="0" w:leftChars="0" w:right="0" w:rightChars="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
              </w:rPr>
              <w:t>省内其他生源（</w:t>
            </w:r>
            <w:r>
              <w:rPr>
                <w:rFonts w:hint="default" w:ascii="仿宋_GB2312" w:hAnsi="仿宋_GB2312" w:cs="仿宋_GB2312"/>
                <w:color w:val="auto"/>
                <w:kern w:val="2"/>
                <w:sz w:val="24"/>
                <w:szCs w:val="24"/>
                <w:highlight w:val="none"/>
                <w:lang w:val="en-US" w:eastAsia="zh-CN" w:bidi="ar"/>
              </w:rPr>
              <w:t>5</w:t>
            </w:r>
            <w:r>
              <w:rPr>
                <w:rFonts w:hint="eastAsia" w:ascii="仿宋_GB2312" w:hAnsi="仿宋_GB2312" w:eastAsia="仿宋_GB2312" w:cs="仿宋_GB2312"/>
                <w:color w:val="auto"/>
                <w:kern w:val="2"/>
                <w:sz w:val="24"/>
                <w:szCs w:val="24"/>
                <w:highlight w:val="none"/>
                <w:lang w:val="en-US" w:eastAsia="zh-CN" w:bidi="ar"/>
              </w:rPr>
              <w:t>分）</w:t>
            </w:r>
          </w:p>
        </w:tc>
        <w:tc>
          <w:tcPr>
            <w:tcW w:w="3155" w:type="dxa"/>
            <w:vMerge w:val="continue"/>
            <w:tcBorders>
              <w:left w:val="single" w:color="auto" w:sz="4" w:space="0"/>
              <w:right w:val="single" w:color="auto" w:sz="4" w:space="0"/>
            </w:tcBorders>
            <w:vAlign w:val="top"/>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00" w:type="dxa"/>
            <w:vMerge w:val="continue"/>
            <w:tcBorders>
              <w:left w:val="single" w:color="auto" w:sz="4" w:space="0"/>
              <w:right w:val="single" w:color="auto" w:sz="4" w:space="0"/>
            </w:tcBorders>
            <w:vAlign w:val="top"/>
          </w:tcPr>
          <w:p>
            <w:pPr>
              <w:jc w:val="both"/>
              <w:rPr>
                <w:rFonts w:hint="default" w:ascii="仿宋_GB2312" w:hAnsi="仿宋_GB2312" w:cs="仿宋_GB2312"/>
                <w:color w:val="auto"/>
                <w:spacing w:val="-11"/>
                <w:kern w:val="2"/>
                <w:sz w:val="24"/>
                <w:szCs w:val="24"/>
                <w:highlight w:val="none"/>
                <w:lang w:val="en-US" w:eastAsia="zh-CN" w:bidi="ar"/>
              </w:rPr>
            </w:pPr>
          </w:p>
        </w:tc>
        <w:tc>
          <w:tcPr>
            <w:tcW w:w="1440" w:type="dxa"/>
            <w:vAlign w:val="top"/>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学科门类、专业（5分）</w:t>
            </w:r>
          </w:p>
        </w:tc>
        <w:tc>
          <w:tcPr>
            <w:tcW w:w="4858" w:type="dxa"/>
            <w:vAlign w:val="center"/>
          </w:tcPr>
          <w:p>
            <w:pPr>
              <w:keepNext w:val="0"/>
              <w:keepLines w:val="0"/>
              <w:widowControl/>
              <w:suppressLineNumbers w:val="0"/>
              <w:spacing w:before="0" w:beforeAutospacing="0" w:after="0" w:afterAutospacing="0" w:line="300" w:lineRule="exact"/>
              <w:ind w:left="0" w:leftChars="0" w:right="0" w:rightChars="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社会学、公共管理、社会工作相关专业（5分）</w:t>
            </w:r>
          </w:p>
        </w:tc>
        <w:tc>
          <w:tcPr>
            <w:tcW w:w="3155" w:type="dxa"/>
            <w:vMerge w:val="continue"/>
            <w:tcBorders>
              <w:left w:val="single" w:color="auto" w:sz="4" w:space="0"/>
              <w:right w:val="single" w:color="auto" w:sz="4" w:space="0"/>
            </w:tcBorders>
            <w:vAlign w:val="top"/>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2"/>
                <w:sz w:val="24"/>
                <w:szCs w:val="24"/>
                <w:highlight w:val="none"/>
                <w:lang w:val="en-US" w:eastAsia="zh-CN" w:bidi="ar"/>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A75C6"/>
    <w:rsid w:val="6B77CA37"/>
    <w:rsid w:val="7FFD7D6D"/>
    <w:rsid w:val="E7FFF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5">
    <w:name w:val="Table Grid"/>
    <w:qFormat/>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2026-05-28T17:18:03Z</dcterms:created>
  <dc:creator>Huawei</dc:creator>
  <cp:lastModifiedBy>Administrator</cp:lastModifiedBy>
  <dcterms:modified xsi:type="dcterms:W3CDTF">2026-05-28T08:37:37Z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73B7532B6951DAF4D097176A299BC48D</vt:lpwstr>
  </property>
</Properties>
</file>