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widowControl/>
        <w:spacing w:before="100" w:after="100"/>
        <w:jc w:val="center"/>
        <w:rPr>
          <w:rFonts w:eastAsia="Times New Roman"/>
          <w:kern w:val="0"/>
          <w:sz w:val="24"/>
        </w:rPr>
      </w:pPr>
      <w:bookmarkStart w:id="0" w:name="a000"/>
      <w:r>
        <w:rPr>
          <w:rFonts w:ascii="Calibri" w:hAnsi="Calibri" w:eastAsia="Calibri" w:cs="Calibri"/>
          <w:kern w:val="0"/>
          <w:sz w:val="32"/>
          <w:szCs w:val="32"/>
        </w:rPr>
        <w:t> </w:t>
      </w:r>
    </w:p>
    <w:p>
      <w:pPr>
        <w:pStyle w:val="31"/>
        <w:widowControl/>
        <w:spacing w:before="100" w:after="100"/>
        <w:jc w:val="center"/>
        <w:rPr>
          <w:rFonts w:eastAsia="Times New Roman"/>
          <w:kern w:val="0"/>
          <w:sz w:val="24"/>
        </w:rPr>
      </w:pPr>
      <w:r>
        <w:rPr>
          <w:rFonts w:ascii="Calibri" w:hAnsi="Calibri" w:eastAsia="Calibri" w:cs="Calibri"/>
          <w:kern w:val="0"/>
          <w:sz w:val="84"/>
          <w:szCs w:val="84"/>
        </w:rPr>
        <w:t> </w:t>
      </w:r>
    </w:p>
    <w:p>
      <w:pPr>
        <w:pStyle w:val="31"/>
        <w:widowControl/>
        <w:spacing w:before="100" w:after="100"/>
        <w:jc w:val="center"/>
        <w:rPr>
          <w:rFonts w:eastAsia="Times New Roman"/>
          <w:kern w:val="0"/>
          <w:sz w:val="24"/>
        </w:rPr>
      </w:pPr>
      <w:r>
        <w:rPr>
          <w:rFonts w:ascii="Calibri" w:hAnsi="Calibri" w:eastAsia="Calibri" w:cs="Calibri"/>
          <w:kern w:val="0"/>
          <w:sz w:val="84"/>
          <w:szCs w:val="84"/>
        </w:rPr>
        <w:t> </w:t>
      </w:r>
    </w:p>
    <w:p>
      <w:pPr>
        <w:pStyle w:val="31"/>
        <w:widowControl/>
        <w:spacing w:before="100" w:after="100"/>
        <w:jc w:val="center"/>
        <w:rPr>
          <w:rFonts w:eastAsia="Times New Roman"/>
          <w:kern w:val="0"/>
          <w:sz w:val="24"/>
        </w:rPr>
      </w:pPr>
      <w:r>
        <w:rPr>
          <w:rFonts w:ascii="方正小标宋简体" w:hAnsi="方正小标宋简体" w:eastAsia="方正小标宋简体" w:cs="方正小标宋简体"/>
          <w:kern w:val="0"/>
          <w:sz w:val="84"/>
          <w:szCs w:val="84"/>
        </w:rPr>
        <w:t>2023年度</w:t>
      </w:r>
    </w:p>
    <w:p>
      <w:pPr>
        <w:pStyle w:val="31"/>
        <w:widowControl/>
        <w:spacing w:before="100" w:after="100"/>
        <w:jc w:val="center"/>
        <w:rPr>
          <w:rFonts w:eastAsia="Times New Roman"/>
          <w:kern w:val="0"/>
          <w:sz w:val="24"/>
        </w:rPr>
      </w:pPr>
      <w:r>
        <w:rPr>
          <w:rFonts w:ascii="方正小标宋简体" w:hAnsi="方正小标宋简体" w:eastAsia="方正小标宋简体" w:cs="方正小标宋简体"/>
          <w:kern w:val="0"/>
          <w:sz w:val="84"/>
          <w:szCs w:val="84"/>
        </w:rPr>
        <w:t>尤溪县城关镇人民政府</w:t>
      </w:r>
    </w:p>
    <w:p>
      <w:pPr>
        <w:pStyle w:val="31"/>
        <w:widowControl/>
        <w:spacing w:before="100" w:after="100"/>
        <w:jc w:val="center"/>
        <w:rPr>
          <w:rFonts w:eastAsia="Times New Roman"/>
          <w:kern w:val="0"/>
          <w:sz w:val="24"/>
        </w:rPr>
      </w:pPr>
      <w:r>
        <w:rPr>
          <w:rFonts w:ascii="方正小标宋简体" w:hAnsi="方正小标宋简体" w:eastAsia="方正小标宋简体" w:cs="方正小标宋简体"/>
          <w:kern w:val="0"/>
          <w:sz w:val="84"/>
          <w:szCs w:val="84"/>
        </w:rPr>
        <w:t>部门决算</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2"/>
        <w:widowControl/>
        <w:spacing w:before="100" w:after="100"/>
        <w:jc w:val="center"/>
        <w:rPr>
          <w:rFonts w:eastAsia="Times New Roman"/>
          <w:kern w:val="0"/>
          <w:sz w:val="24"/>
        </w:rPr>
      </w:pPr>
      <w:r>
        <w:rPr>
          <w:rFonts w:ascii="方正小标宋简体" w:hAnsi="方正小标宋简体" w:eastAsia="方正小标宋简体" w:cs="方正小标宋简体"/>
          <w:kern w:val="0"/>
          <w:sz w:val="44"/>
          <w:szCs w:val="44"/>
        </w:rPr>
        <w:t>目  录</w:t>
      </w:r>
    </w:p>
    <w:p>
      <w:pPr>
        <w:pStyle w:val="32"/>
        <w:widowControl/>
        <w:spacing w:before="100" w:after="100"/>
        <w:jc w:val="left"/>
        <w:rPr>
          <w:rFonts w:eastAsia="Times New Roman"/>
          <w:kern w:val="0"/>
          <w:sz w:val="24"/>
        </w:rPr>
      </w:pPr>
      <w:r>
        <w:rPr>
          <w:rFonts w:ascii="宋体" w:hAnsi="宋体" w:cs="宋体"/>
          <w:kern w:val="0"/>
          <w:sz w:val="36"/>
          <w:szCs w:val="36"/>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第一部分 部门概况…………………………………………</w:t>
      </w:r>
      <w:r>
        <w:rPr>
          <w:rFonts w:hint="eastAsia" w:ascii="仿宋" w:hAnsi="仿宋" w:eastAsia="仿宋" w:cs="仿宋"/>
          <w:kern w:val="0"/>
          <w:sz w:val="32"/>
          <w:szCs w:val="32"/>
        </w:rPr>
        <w:t>4</w:t>
      </w:r>
    </w:p>
    <w:p>
      <w:pPr>
        <w:pStyle w:val="31"/>
        <w:widowControl/>
        <w:spacing w:before="100" w:after="100"/>
        <w:jc w:val="left"/>
        <w:rPr>
          <w:rFonts w:eastAsia="Times New Roman"/>
          <w:kern w:val="0"/>
          <w:sz w:val="24"/>
        </w:rPr>
      </w:pPr>
      <w:r>
        <w:rPr>
          <w:rFonts w:ascii="仿宋" w:hAnsi="仿宋" w:eastAsia="仿宋" w:cs="仿宋"/>
          <w:kern w:val="0"/>
          <w:sz w:val="32"/>
          <w:szCs w:val="32"/>
        </w:rPr>
        <w:t>一、部门主要职责…………………………………………</w:t>
      </w:r>
      <w:r>
        <w:rPr>
          <w:rFonts w:hint="eastAsia" w:ascii="仿宋" w:hAnsi="仿宋" w:eastAsia="仿宋" w:cs="仿宋"/>
          <w:kern w:val="0"/>
          <w:sz w:val="32"/>
          <w:szCs w:val="32"/>
        </w:rPr>
        <w:t>4</w:t>
      </w:r>
    </w:p>
    <w:p>
      <w:pPr>
        <w:pStyle w:val="31"/>
        <w:widowControl/>
        <w:spacing w:before="100" w:after="100"/>
        <w:jc w:val="left"/>
        <w:rPr>
          <w:rFonts w:eastAsia="Times New Roman"/>
          <w:kern w:val="0"/>
          <w:sz w:val="24"/>
        </w:rPr>
      </w:pPr>
      <w:r>
        <w:rPr>
          <w:rFonts w:ascii="仿宋" w:hAnsi="仿宋" w:eastAsia="仿宋" w:cs="仿宋"/>
          <w:kern w:val="0"/>
          <w:sz w:val="32"/>
          <w:szCs w:val="32"/>
        </w:rPr>
        <w:t>二、部门决算单位基本情况………………………………</w:t>
      </w:r>
      <w:r>
        <w:rPr>
          <w:rFonts w:hint="eastAsia" w:ascii="仿宋" w:hAnsi="仿宋" w:eastAsia="仿宋" w:cs="仿宋"/>
          <w:kern w:val="0"/>
          <w:sz w:val="32"/>
          <w:szCs w:val="32"/>
        </w:rPr>
        <w:t>5</w:t>
      </w:r>
    </w:p>
    <w:p>
      <w:pPr>
        <w:pStyle w:val="31"/>
        <w:widowControl/>
        <w:spacing w:before="100" w:after="100"/>
        <w:jc w:val="left"/>
        <w:rPr>
          <w:rFonts w:eastAsia="Times New Roman"/>
          <w:kern w:val="0"/>
          <w:sz w:val="24"/>
        </w:rPr>
      </w:pPr>
      <w:r>
        <w:rPr>
          <w:rFonts w:ascii="仿宋" w:hAnsi="仿宋" w:eastAsia="仿宋" w:cs="仿宋"/>
          <w:kern w:val="0"/>
          <w:sz w:val="32"/>
          <w:szCs w:val="32"/>
        </w:rPr>
        <w:t>三、部门主要工作总结……………………………………</w:t>
      </w:r>
      <w:r>
        <w:rPr>
          <w:rFonts w:hint="eastAsia" w:ascii="仿宋" w:hAnsi="仿宋" w:eastAsia="仿宋" w:cs="仿宋"/>
          <w:kern w:val="0"/>
          <w:sz w:val="32"/>
          <w:szCs w:val="32"/>
        </w:rPr>
        <w:t>5</w:t>
      </w:r>
    </w:p>
    <w:p>
      <w:pPr>
        <w:pStyle w:val="31"/>
        <w:widowControl/>
        <w:spacing w:before="100" w:after="100"/>
        <w:jc w:val="left"/>
        <w:rPr>
          <w:rFonts w:eastAsia="Times New Roman"/>
          <w:kern w:val="0"/>
          <w:sz w:val="24"/>
        </w:rPr>
      </w:pPr>
      <w:r>
        <w:rPr>
          <w:rFonts w:ascii="仿宋" w:hAnsi="仿宋" w:eastAsia="仿宋" w:cs="仿宋"/>
          <w:kern w:val="0"/>
          <w:sz w:val="32"/>
          <w:szCs w:val="32"/>
        </w:rPr>
        <w:t>第二部分 2023年度部门决算表……………………………</w:t>
      </w:r>
      <w:r>
        <w:rPr>
          <w:rFonts w:hint="eastAsia" w:ascii="仿宋" w:hAnsi="仿宋" w:eastAsia="仿宋" w:cs="仿宋"/>
          <w:kern w:val="0"/>
          <w:sz w:val="32"/>
          <w:szCs w:val="32"/>
        </w:rPr>
        <w:t>11</w:t>
      </w:r>
    </w:p>
    <w:p>
      <w:pPr>
        <w:pStyle w:val="31"/>
        <w:widowControl/>
        <w:spacing w:before="100" w:after="100"/>
        <w:jc w:val="left"/>
        <w:rPr>
          <w:rFonts w:eastAsia="Times New Roman"/>
          <w:kern w:val="0"/>
          <w:sz w:val="24"/>
        </w:rPr>
      </w:pPr>
      <w:r>
        <w:rPr>
          <w:rFonts w:ascii="仿宋" w:hAnsi="仿宋" w:eastAsia="仿宋" w:cs="仿宋"/>
          <w:kern w:val="0"/>
          <w:sz w:val="32"/>
          <w:szCs w:val="32"/>
        </w:rPr>
        <w:t>一、收入支出决算总表……………………………………</w:t>
      </w:r>
      <w:r>
        <w:rPr>
          <w:rFonts w:hint="eastAsia" w:ascii="仿宋" w:hAnsi="仿宋" w:eastAsia="仿宋" w:cs="仿宋"/>
          <w:kern w:val="0"/>
          <w:sz w:val="32"/>
          <w:szCs w:val="32"/>
        </w:rPr>
        <w:t>11</w:t>
      </w:r>
    </w:p>
    <w:p>
      <w:pPr>
        <w:pStyle w:val="31"/>
        <w:widowControl/>
        <w:spacing w:before="100" w:after="100"/>
        <w:jc w:val="left"/>
        <w:rPr>
          <w:rFonts w:eastAsia="Times New Roman"/>
          <w:kern w:val="0"/>
          <w:sz w:val="24"/>
        </w:rPr>
      </w:pPr>
      <w:r>
        <w:rPr>
          <w:rFonts w:ascii="仿宋" w:hAnsi="仿宋" w:eastAsia="仿宋" w:cs="仿宋"/>
          <w:kern w:val="0"/>
          <w:sz w:val="32"/>
          <w:szCs w:val="32"/>
        </w:rPr>
        <w:t>二、收入决算表……………………………………………</w:t>
      </w:r>
      <w:r>
        <w:rPr>
          <w:rFonts w:hint="eastAsia" w:ascii="仿宋" w:hAnsi="仿宋" w:eastAsia="仿宋" w:cs="仿宋"/>
          <w:kern w:val="0"/>
          <w:sz w:val="32"/>
          <w:szCs w:val="32"/>
        </w:rPr>
        <w:t>15</w:t>
      </w:r>
    </w:p>
    <w:p>
      <w:pPr>
        <w:pStyle w:val="31"/>
        <w:widowControl/>
        <w:spacing w:before="100" w:after="100"/>
        <w:jc w:val="left"/>
        <w:rPr>
          <w:rFonts w:eastAsia="Times New Roman"/>
          <w:kern w:val="0"/>
          <w:sz w:val="24"/>
        </w:rPr>
      </w:pPr>
      <w:r>
        <w:rPr>
          <w:rFonts w:ascii="仿宋" w:hAnsi="仿宋" w:eastAsia="仿宋" w:cs="仿宋"/>
          <w:kern w:val="0"/>
          <w:sz w:val="32"/>
          <w:szCs w:val="32"/>
        </w:rPr>
        <w:t>三、支出决算表……………………………………………</w:t>
      </w:r>
      <w:r>
        <w:rPr>
          <w:rFonts w:hint="eastAsia" w:ascii="仿宋" w:hAnsi="仿宋" w:eastAsia="仿宋" w:cs="仿宋"/>
          <w:kern w:val="0"/>
          <w:sz w:val="32"/>
          <w:szCs w:val="32"/>
        </w:rPr>
        <w:t>21</w:t>
      </w:r>
    </w:p>
    <w:p>
      <w:pPr>
        <w:pStyle w:val="31"/>
        <w:widowControl/>
        <w:spacing w:before="100" w:after="100"/>
        <w:jc w:val="left"/>
        <w:rPr>
          <w:rFonts w:eastAsia="Times New Roman"/>
          <w:kern w:val="0"/>
          <w:sz w:val="24"/>
        </w:rPr>
      </w:pPr>
      <w:r>
        <w:rPr>
          <w:rFonts w:ascii="仿宋" w:hAnsi="仿宋" w:eastAsia="仿宋" w:cs="仿宋"/>
          <w:kern w:val="0"/>
          <w:sz w:val="32"/>
          <w:szCs w:val="32"/>
        </w:rPr>
        <w:t>四、财政拨款收入支出决算总表…………………………</w:t>
      </w:r>
      <w:r>
        <w:rPr>
          <w:rFonts w:hint="eastAsia" w:ascii="仿宋" w:hAnsi="仿宋" w:eastAsia="仿宋" w:cs="仿宋"/>
          <w:kern w:val="0"/>
          <w:sz w:val="32"/>
          <w:szCs w:val="32"/>
        </w:rPr>
        <w:t>26</w:t>
      </w:r>
    </w:p>
    <w:p>
      <w:pPr>
        <w:pStyle w:val="31"/>
        <w:widowControl/>
        <w:spacing w:before="100" w:after="100"/>
        <w:jc w:val="left"/>
        <w:rPr>
          <w:rFonts w:eastAsia="Times New Roman"/>
          <w:kern w:val="0"/>
          <w:sz w:val="24"/>
        </w:rPr>
      </w:pPr>
      <w:r>
        <w:rPr>
          <w:rFonts w:ascii="仿宋" w:hAnsi="仿宋" w:eastAsia="仿宋" w:cs="仿宋"/>
          <w:kern w:val="0"/>
          <w:sz w:val="32"/>
          <w:szCs w:val="32"/>
        </w:rPr>
        <w:t>五、一般公共预算财政拨款支出决算表…………………</w:t>
      </w:r>
      <w:r>
        <w:rPr>
          <w:rFonts w:hint="eastAsia" w:ascii="仿宋" w:hAnsi="仿宋" w:eastAsia="仿宋" w:cs="仿宋"/>
          <w:kern w:val="0"/>
          <w:sz w:val="32"/>
          <w:szCs w:val="32"/>
        </w:rPr>
        <w:t>32</w:t>
      </w:r>
    </w:p>
    <w:p>
      <w:pPr>
        <w:pStyle w:val="31"/>
        <w:widowControl/>
        <w:spacing w:before="100" w:after="100"/>
        <w:jc w:val="left"/>
        <w:rPr>
          <w:rFonts w:eastAsia="Times New Roman"/>
          <w:kern w:val="0"/>
          <w:sz w:val="24"/>
        </w:rPr>
      </w:pPr>
      <w:r>
        <w:rPr>
          <w:rFonts w:ascii="仿宋" w:hAnsi="仿宋" w:eastAsia="仿宋" w:cs="仿宋"/>
          <w:kern w:val="0"/>
          <w:sz w:val="32"/>
          <w:szCs w:val="32"/>
        </w:rPr>
        <w:t>六、一般公共预算财政拨款基本支出决算表………………</w:t>
      </w:r>
      <w:r>
        <w:rPr>
          <w:rFonts w:hint="eastAsia" w:ascii="仿宋" w:hAnsi="仿宋" w:eastAsia="仿宋" w:cs="仿宋"/>
          <w:kern w:val="0"/>
          <w:sz w:val="32"/>
          <w:szCs w:val="32"/>
        </w:rPr>
        <w:t>35</w:t>
      </w:r>
    </w:p>
    <w:p>
      <w:pPr>
        <w:pStyle w:val="31"/>
        <w:widowControl/>
        <w:spacing w:before="100" w:after="100"/>
        <w:jc w:val="left"/>
        <w:rPr>
          <w:rFonts w:eastAsia="Times New Roman"/>
          <w:kern w:val="0"/>
          <w:sz w:val="24"/>
        </w:rPr>
      </w:pPr>
      <w:r>
        <w:rPr>
          <w:rFonts w:ascii="仿宋" w:hAnsi="仿宋" w:eastAsia="仿宋" w:cs="仿宋"/>
          <w:kern w:val="0"/>
          <w:sz w:val="32"/>
          <w:szCs w:val="32"/>
        </w:rPr>
        <w:t>七、一般公共预算财政拨款“三公”经费支出决算表…</w:t>
      </w:r>
      <w:r>
        <w:rPr>
          <w:rFonts w:hint="eastAsia" w:ascii="仿宋" w:hAnsi="仿宋" w:eastAsia="仿宋" w:cs="仿宋"/>
          <w:kern w:val="0"/>
          <w:sz w:val="32"/>
          <w:szCs w:val="32"/>
        </w:rPr>
        <w:t>39</w:t>
      </w:r>
    </w:p>
    <w:p>
      <w:pPr>
        <w:pStyle w:val="31"/>
        <w:widowControl/>
        <w:spacing w:before="100" w:after="100"/>
        <w:jc w:val="left"/>
        <w:rPr>
          <w:rFonts w:eastAsia="Times New Roman"/>
          <w:kern w:val="0"/>
          <w:sz w:val="24"/>
        </w:rPr>
      </w:pPr>
      <w:r>
        <w:rPr>
          <w:rFonts w:ascii="仿宋" w:hAnsi="仿宋" w:eastAsia="仿宋" w:cs="仿宋"/>
          <w:kern w:val="0"/>
          <w:sz w:val="32"/>
          <w:szCs w:val="32"/>
        </w:rPr>
        <w:t>八、政府性基金预算财政拨款收入支出决算表…………</w:t>
      </w:r>
      <w:r>
        <w:rPr>
          <w:rFonts w:hint="eastAsia" w:ascii="仿宋" w:hAnsi="仿宋" w:eastAsia="仿宋" w:cs="仿宋"/>
          <w:kern w:val="0"/>
          <w:sz w:val="32"/>
          <w:szCs w:val="32"/>
        </w:rPr>
        <w:t>40</w:t>
      </w:r>
    </w:p>
    <w:p>
      <w:pPr>
        <w:pStyle w:val="31"/>
        <w:widowControl/>
        <w:spacing w:before="100" w:after="100"/>
        <w:jc w:val="left"/>
        <w:rPr>
          <w:rFonts w:eastAsia="Times New Roman"/>
          <w:kern w:val="0"/>
          <w:sz w:val="24"/>
        </w:rPr>
      </w:pPr>
      <w:r>
        <w:rPr>
          <w:rFonts w:ascii="仿宋" w:hAnsi="仿宋" w:eastAsia="仿宋" w:cs="仿宋"/>
          <w:kern w:val="0"/>
          <w:sz w:val="32"/>
          <w:szCs w:val="32"/>
        </w:rPr>
        <w:t>九、国有资本经营预算财政拨款支出决算表…………………</w:t>
      </w:r>
      <w:r>
        <w:rPr>
          <w:rFonts w:hint="eastAsia" w:ascii="仿宋" w:hAnsi="仿宋" w:eastAsia="仿宋" w:cs="仿宋"/>
          <w:kern w:val="0"/>
          <w:sz w:val="32"/>
          <w:szCs w:val="32"/>
        </w:rPr>
        <w:t>41</w:t>
      </w:r>
    </w:p>
    <w:p>
      <w:pPr>
        <w:pStyle w:val="31"/>
        <w:widowControl/>
        <w:spacing w:before="100" w:after="100"/>
        <w:jc w:val="left"/>
        <w:rPr>
          <w:rFonts w:eastAsia="Times New Roman"/>
          <w:kern w:val="0"/>
          <w:sz w:val="24"/>
        </w:rPr>
      </w:pPr>
      <w:r>
        <w:rPr>
          <w:rFonts w:ascii="仿宋" w:hAnsi="仿宋" w:eastAsia="仿宋" w:cs="仿宋"/>
          <w:kern w:val="0"/>
          <w:sz w:val="32"/>
          <w:szCs w:val="32"/>
        </w:rPr>
        <w:t>第三部分 2023年度部门决算情况说明……………………</w:t>
      </w:r>
      <w:r>
        <w:rPr>
          <w:rFonts w:hint="eastAsia" w:ascii="仿宋" w:hAnsi="仿宋" w:eastAsia="仿宋" w:cs="仿宋"/>
          <w:kern w:val="0"/>
          <w:sz w:val="32"/>
          <w:szCs w:val="32"/>
        </w:rPr>
        <w:t>42</w:t>
      </w:r>
    </w:p>
    <w:p>
      <w:pPr>
        <w:pStyle w:val="31"/>
        <w:widowControl/>
        <w:spacing w:before="100" w:after="100"/>
        <w:jc w:val="left"/>
        <w:rPr>
          <w:rFonts w:eastAsia="Times New Roman"/>
          <w:kern w:val="0"/>
          <w:sz w:val="24"/>
        </w:rPr>
      </w:pPr>
      <w:r>
        <w:rPr>
          <w:rFonts w:ascii="仿宋" w:hAnsi="仿宋" w:eastAsia="仿宋" w:cs="仿宋"/>
          <w:kern w:val="0"/>
          <w:sz w:val="32"/>
          <w:szCs w:val="32"/>
        </w:rPr>
        <w:t>一、收入支出决算总体情况说明…………………………</w:t>
      </w:r>
      <w:r>
        <w:rPr>
          <w:rFonts w:hint="eastAsia" w:ascii="仿宋" w:hAnsi="仿宋" w:eastAsia="仿宋" w:cs="仿宋"/>
          <w:kern w:val="0"/>
          <w:sz w:val="32"/>
          <w:szCs w:val="32"/>
        </w:rPr>
        <w:t>42</w:t>
      </w:r>
    </w:p>
    <w:p>
      <w:pPr>
        <w:pStyle w:val="31"/>
        <w:widowControl/>
        <w:spacing w:before="100" w:after="100"/>
        <w:jc w:val="left"/>
        <w:rPr>
          <w:rFonts w:eastAsia="Times New Roman"/>
          <w:kern w:val="0"/>
          <w:sz w:val="24"/>
        </w:rPr>
      </w:pPr>
      <w:r>
        <w:rPr>
          <w:rFonts w:ascii="仿宋" w:hAnsi="仿宋" w:eastAsia="仿宋" w:cs="仿宋"/>
          <w:kern w:val="0"/>
          <w:sz w:val="32"/>
          <w:szCs w:val="32"/>
        </w:rPr>
        <w:t>二、财政拨款收入支出决算总体情况说明………………</w:t>
      </w:r>
      <w:r>
        <w:rPr>
          <w:rFonts w:hint="eastAsia" w:ascii="仿宋" w:hAnsi="仿宋" w:eastAsia="仿宋" w:cs="仿宋"/>
          <w:kern w:val="0"/>
          <w:sz w:val="32"/>
          <w:szCs w:val="32"/>
        </w:rPr>
        <w:t>43</w:t>
      </w:r>
    </w:p>
    <w:p>
      <w:pPr>
        <w:pStyle w:val="31"/>
        <w:widowControl/>
        <w:spacing w:before="100" w:after="100"/>
        <w:jc w:val="left"/>
        <w:rPr>
          <w:rFonts w:eastAsia="Times New Roman"/>
          <w:kern w:val="0"/>
          <w:sz w:val="24"/>
        </w:rPr>
      </w:pPr>
      <w:r>
        <w:rPr>
          <w:rFonts w:ascii="仿宋" w:hAnsi="仿宋" w:eastAsia="仿宋" w:cs="仿宋"/>
          <w:kern w:val="0"/>
          <w:sz w:val="32"/>
          <w:szCs w:val="32"/>
        </w:rPr>
        <w:t>三、一般公共预算财政拨款支出决算情况说明…………</w:t>
      </w:r>
      <w:r>
        <w:rPr>
          <w:rFonts w:hint="eastAsia" w:ascii="仿宋" w:hAnsi="仿宋" w:eastAsia="仿宋" w:cs="仿宋"/>
          <w:kern w:val="0"/>
          <w:sz w:val="32"/>
          <w:szCs w:val="32"/>
        </w:rPr>
        <w:t>43</w:t>
      </w:r>
    </w:p>
    <w:p>
      <w:pPr>
        <w:pStyle w:val="31"/>
        <w:widowControl/>
        <w:spacing w:before="100" w:after="100"/>
        <w:jc w:val="left"/>
        <w:rPr>
          <w:rFonts w:eastAsia="Times New Roman"/>
          <w:kern w:val="0"/>
          <w:sz w:val="24"/>
        </w:rPr>
      </w:pPr>
      <w:r>
        <w:rPr>
          <w:rFonts w:ascii="仿宋" w:hAnsi="仿宋" w:eastAsia="仿宋" w:cs="仿宋"/>
          <w:kern w:val="0"/>
          <w:sz w:val="32"/>
          <w:szCs w:val="32"/>
        </w:rPr>
        <w:t>四、政府性基金预算财政拨款支出决算情况说明………</w:t>
      </w:r>
      <w:r>
        <w:rPr>
          <w:rFonts w:hint="eastAsia" w:ascii="仿宋" w:hAnsi="仿宋" w:eastAsia="仿宋" w:cs="仿宋"/>
          <w:kern w:val="0"/>
          <w:sz w:val="32"/>
          <w:szCs w:val="32"/>
        </w:rPr>
        <w:t>45</w:t>
      </w:r>
    </w:p>
    <w:p>
      <w:pPr>
        <w:pStyle w:val="31"/>
        <w:widowControl/>
        <w:spacing w:before="100" w:after="100"/>
        <w:jc w:val="left"/>
        <w:rPr>
          <w:rFonts w:eastAsia="Times New Roman"/>
          <w:kern w:val="0"/>
          <w:sz w:val="24"/>
        </w:rPr>
      </w:pPr>
      <w:r>
        <w:rPr>
          <w:rFonts w:ascii="仿宋" w:hAnsi="仿宋" w:eastAsia="仿宋" w:cs="仿宋"/>
          <w:kern w:val="0"/>
          <w:sz w:val="32"/>
          <w:szCs w:val="32"/>
        </w:rPr>
        <w:t>五、国有资本经营预算财政拨款支出决算情况说明……</w:t>
      </w:r>
      <w:r>
        <w:rPr>
          <w:rFonts w:hint="eastAsia" w:ascii="仿宋" w:hAnsi="仿宋" w:eastAsia="仿宋" w:cs="仿宋"/>
          <w:kern w:val="0"/>
          <w:sz w:val="32"/>
          <w:szCs w:val="32"/>
        </w:rPr>
        <w:t>46</w:t>
      </w:r>
    </w:p>
    <w:p>
      <w:pPr>
        <w:pStyle w:val="31"/>
        <w:widowControl/>
        <w:spacing w:before="100" w:after="100"/>
        <w:jc w:val="left"/>
        <w:rPr>
          <w:rFonts w:eastAsia="Times New Roman"/>
          <w:kern w:val="0"/>
          <w:sz w:val="24"/>
        </w:rPr>
      </w:pPr>
      <w:r>
        <w:rPr>
          <w:rFonts w:ascii="仿宋" w:hAnsi="仿宋" w:eastAsia="仿宋" w:cs="仿宋"/>
          <w:kern w:val="0"/>
          <w:sz w:val="32"/>
          <w:szCs w:val="32"/>
        </w:rPr>
        <w:t>六、一般公共预算财政拨款基本支出决算情况说明……</w:t>
      </w:r>
      <w:r>
        <w:rPr>
          <w:rFonts w:hint="eastAsia" w:ascii="仿宋" w:hAnsi="仿宋" w:eastAsia="仿宋" w:cs="仿宋"/>
          <w:kern w:val="0"/>
          <w:sz w:val="32"/>
          <w:szCs w:val="32"/>
        </w:rPr>
        <w:t>46</w:t>
      </w:r>
    </w:p>
    <w:p>
      <w:pPr>
        <w:pStyle w:val="31"/>
        <w:widowControl/>
        <w:spacing w:before="100" w:after="100"/>
        <w:jc w:val="left"/>
        <w:rPr>
          <w:rFonts w:eastAsia="Times New Roman"/>
          <w:kern w:val="0"/>
          <w:sz w:val="24"/>
        </w:rPr>
      </w:pPr>
      <w:r>
        <w:rPr>
          <w:rFonts w:ascii="仿宋" w:hAnsi="仿宋" w:eastAsia="仿宋" w:cs="仿宋"/>
          <w:kern w:val="0"/>
          <w:sz w:val="32"/>
          <w:szCs w:val="32"/>
        </w:rPr>
        <w:t>七、一般公共预算财政拨款“三公”经费支出决算情况说明……………………………………………………………</w:t>
      </w:r>
      <w:r>
        <w:rPr>
          <w:rFonts w:hint="eastAsia" w:ascii="仿宋" w:hAnsi="仿宋" w:eastAsia="仿宋" w:cs="仿宋"/>
          <w:kern w:val="0"/>
          <w:sz w:val="32"/>
          <w:szCs w:val="32"/>
        </w:rPr>
        <w:t>46</w:t>
      </w:r>
    </w:p>
    <w:p>
      <w:pPr>
        <w:pStyle w:val="31"/>
        <w:widowControl/>
        <w:spacing w:before="100" w:after="100"/>
        <w:jc w:val="left"/>
        <w:rPr>
          <w:rFonts w:eastAsia="Times New Roman"/>
          <w:kern w:val="0"/>
          <w:sz w:val="24"/>
        </w:rPr>
      </w:pPr>
      <w:r>
        <w:rPr>
          <w:rFonts w:ascii="仿宋" w:hAnsi="仿宋" w:eastAsia="仿宋" w:cs="仿宋"/>
          <w:kern w:val="0"/>
          <w:sz w:val="32"/>
          <w:szCs w:val="32"/>
        </w:rPr>
        <w:t>八、预算绩效情况说明……………………………………</w:t>
      </w:r>
      <w:r>
        <w:rPr>
          <w:rFonts w:hint="eastAsia" w:ascii="仿宋" w:hAnsi="仿宋" w:eastAsia="仿宋" w:cs="仿宋"/>
          <w:kern w:val="0"/>
          <w:sz w:val="32"/>
          <w:szCs w:val="32"/>
        </w:rPr>
        <w:t>47</w:t>
      </w:r>
    </w:p>
    <w:p>
      <w:pPr>
        <w:pStyle w:val="31"/>
        <w:widowControl/>
        <w:spacing w:before="100" w:after="100"/>
        <w:jc w:val="left"/>
        <w:rPr>
          <w:rFonts w:eastAsia="Times New Roman"/>
          <w:kern w:val="0"/>
          <w:sz w:val="24"/>
        </w:rPr>
      </w:pPr>
      <w:r>
        <w:rPr>
          <w:rFonts w:ascii="仿宋" w:hAnsi="仿宋" w:eastAsia="仿宋" w:cs="仿宋"/>
          <w:kern w:val="0"/>
          <w:sz w:val="32"/>
          <w:szCs w:val="32"/>
        </w:rPr>
        <w:t>九、其他重要事项情况说明………………………………</w:t>
      </w:r>
      <w:r>
        <w:rPr>
          <w:rFonts w:hint="eastAsia" w:ascii="仿宋" w:hAnsi="仿宋" w:eastAsia="仿宋" w:cs="仿宋"/>
          <w:kern w:val="0"/>
          <w:sz w:val="32"/>
          <w:szCs w:val="32"/>
        </w:rPr>
        <w:t>47</w:t>
      </w:r>
    </w:p>
    <w:p>
      <w:pPr>
        <w:pStyle w:val="31"/>
        <w:widowControl/>
        <w:spacing w:before="100" w:after="100"/>
        <w:jc w:val="left"/>
        <w:rPr>
          <w:rFonts w:eastAsia="Times New Roman"/>
          <w:kern w:val="0"/>
          <w:sz w:val="24"/>
        </w:rPr>
      </w:pPr>
      <w:r>
        <w:rPr>
          <w:rFonts w:ascii="仿宋" w:hAnsi="仿宋" w:eastAsia="仿宋" w:cs="仿宋"/>
          <w:kern w:val="0"/>
          <w:sz w:val="32"/>
          <w:szCs w:val="32"/>
        </w:rPr>
        <w:t>第四部分 名词解释…………………………………………</w:t>
      </w:r>
      <w:r>
        <w:rPr>
          <w:rFonts w:hint="eastAsia" w:ascii="仿宋" w:hAnsi="仿宋" w:eastAsia="仿宋" w:cs="仿宋"/>
          <w:kern w:val="0"/>
          <w:sz w:val="32"/>
          <w:szCs w:val="32"/>
        </w:rPr>
        <w:t>49</w:t>
      </w:r>
    </w:p>
    <w:p>
      <w:pPr>
        <w:pStyle w:val="31"/>
        <w:widowControl/>
        <w:spacing w:before="100" w:after="100"/>
        <w:jc w:val="left"/>
        <w:rPr>
          <w:rFonts w:eastAsia="Times New Roman"/>
          <w:kern w:val="0"/>
          <w:sz w:val="24"/>
        </w:rPr>
      </w:pPr>
      <w:r>
        <w:rPr>
          <w:rFonts w:ascii="仿宋" w:hAnsi="仿宋" w:eastAsia="仿宋" w:cs="仿宋"/>
          <w:kern w:val="0"/>
          <w:sz w:val="32"/>
          <w:szCs w:val="32"/>
        </w:rPr>
        <w:t>第五部分 附件………………………………………………</w:t>
      </w:r>
      <w:r>
        <w:rPr>
          <w:rFonts w:hint="eastAsia" w:ascii="仿宋" w:hAnsi="仿宋" w:eastAsia="仿宋" w:cs="仿宋"/>
          <w:kern w:val="0"/>
          <w:sz w:val="32"/>
          <w:szCs w:val="32"/>
        </w:rPr>
        <w:t>51</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仿宋" w:hAnsi="仿宋" w:eastAsia="仿宋" w:cs="仿宋"/>
          <w:kern w:val="0"/>
          <w:sz w:val="32"/>
          <w:szCs w:val="32"/>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rPr>
          <w:rFonts w:eastAsia="Times New Roman"/>
          <w:kern w:val="0"/>
          <w:sz w:val="24"/>
        </w:rPr>
      </w:pPr>
      <w:r>
        <w:rPr>
          <w:rFonts w:ascii="黑体" w:hAnsi="黑体" w:eastAsia="黑体" w:cs="黑体"/>
          <w:kern w:val="0"/>
          <w:sz w:val="56"/>
          <w:szCs w:val="56"/>
        </w:rPr>
        <w:t>第一部分</w:t>
      </w:r>
      <w:r>
        <w:rPr>
          <w:rFonts w:ascii="宋体" w:hAnsi="宋体" w:cs="宋体"/>
          <w:kern w:val="0"/>
          <w:sz w:val="56"/>
          <w:szCs w:val="56"/>
        </w:rPr>
        <w:t> </w:t>
      </w:r>
    </w:p>
    <w:p>
      <w:pPr>
        <w:pStyle w:val="32"/>
        <w:widowControl/>
        <w:spacing w:before="100" w:after="100"/>
        <w:jc w:val="center"/>
        <w:rPr>
          <w:rFonts w:eastAsia="Times New Roman"/>
          <w:kern w:val="0"/>
          <w:sz w:val="24"/>
        </w:rPr>
      </w:pPr>
      <w:r>
        <w:rPr>
          <w:rFonts w:ascii="黑体" w:hAnsi="黑体" w:eastAsia="黑体" w:cs="黑体"/>
          <w:kern w:val="0"/>
          <w:sz w:val="56"/>
          <w:szCs w:val="56"/>
        </w:rPr>
        <w:t>部门概况</w:t>
      </w:r>
    </w:p>
    <w:p>
      <w:pPr>
        <w:pStyle w:val="31"/>
        <w:widowControl/>
        <w:spacing w:before="100" w:after="100"/>
        <w:jc w:val="center"/>
        <w:rPr>
          <w:rFonts w:eastAsia="Times New Roman"/>
          <w:kern w:val="0"/>
          <w:sz w:val="24"/>
        </w:rPr>
      </w:pPr>
      <w:r>
        <w:rPr>
          <w:rFonts w:ascii="宋体" w:hAnsi="宋体" w:cs="宋体"/>
          <w:kern w:val="0"/>
          <w:sz w:val="36"/>
          <w:szCs w:val="36"/>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一、部门主要职责</w:t>
      </w:r>
    </w:p>
    <w:p>
      <w:pPr>
        <w:spacing w:line="600" w:lineRule="exact"/>
        <w:ind w:firstLine="640" w:firstLineChars="200"/>
        <w:rPr>
          <w:rFonts w:ascii="仿宋" w:hAnsi="仿宋" w:eastAsia="仿宋" w:cs="仿宋"/>
          <w:kern w:val="0"/>
          <w:sz w:val="32"/>
          <w:szCs w:val="32"/>
        </w:rPr>
      </w:pPr>
      <w:r>
        <w:rPr>
          <w:rFonts w:ascii="仿宋" w:hAnsi="仿宋" w:eastAsia="仿宋"/>
          <w:sz w:val="32"/>
          <w:szCs w:val="32"/>
        </w:rPr>
        <w:t>尤溪县城关镇人民政府的</w:t>
      </w:r>
      <w:r>
        <w:rPr>
          <w:rFonts w:ascii="仿宋" w:hAnsi="仿宋" w:eastAsia="仿宋" w:cs="仿宋"/>
          <w:kern w:val="0"/>
          <w:sz w:val="32"/>
          <w:szCs w:val="32"/>
        </w:rPr>
        <w:t>主要职责是：</w:t>
      </w:r>
    </w:p>
    <w:p>
      <w:pPr>
        <w:spacing w:line="600" w:lineRule="exact"/>
        <w:ind w:firstLine="640" w:firstLineChars="200"/>
        <w:rPr>
          <w:rFonts w:ascii="仿宋" w:hAnsi="仿宋" w:eastAsia="仿宋"/>
          <w:sz w:val="32"/>
          <w:szCs w:val="32"/>
        </w:rPr>
      </w:pPr>
      <w:r>
        <w:rPr>
          <w:rFonts w:ascii="仿宋" w:hAnsi="仿宋" w:eastAsia="仿宋"/>
          <w:sz w:val="32"/>
          <w:szCs w:val="32"/>
        </w:rPr>
        <w:t>（一）制定和组织实施经济、科技和社会发展计划，制定资源开发技术改造和产业结构调整方案，组织指导好各业生产，搞好商品流通，协调好本乡镇与外地区的经济交流与合作，抓好招商引资，人才引进项目开发，不断培育市场体系，组织经济运行，促进经济发展。</w:t>
      </w:r>
    </w:p>
    <w:p>
      <w:pPr>
        <w:spacing w:line="600" w:lineRule="exact"/>
        <w:ind w:firstLine="640" w:firstLineChars="200"/>
        <w:rPr>
          <w:rFonts w:ascii="仿宋" w:hAnsi="仿宋" w:eastAsia="仿宋"/>
          <w:sz w:val="32"/>
          <w:szCs w:val="32"/>
        </w:rPr>
      </w:pPr>
      <w:r>
        <w:rPr>
          <w:rFonts w:ascii="仿宋" w:hAnsi="仿宋" w:eastAsia="仿宋"/>
          <w:sz w:val="32"/>
          <w:szCs w:val="32"/>
        </w:rPr>
        <w:t>（二）制定并组织实施村镇建设规划，部署重点工程建设，地方道路建设及公共设施，水利设施的管理，负责土地、林木、水等自然资源和生态环境的保护，做好护林防火工作。</w:t>
      </w:r>
    </w:p>
    <w:p>
      <w:pPr>
        <w:spacing w:line="600" w:lineRule="exact"/>
        <w:ind w:firstLine="640" w:firstLineChars="200"/>
        <w:rPr>
          <w:rFonts w:ascii="仿宋" w:hAnsi="仿宋" w:eastAsia="仿宋"/>
          <w:sz w:val="32"/>
          <w:szCs w:val="32"/>
        </w:rPr>
      </w:pPr>
      <w:r>
        <w:rPr>
          <w:rFonts w:ascii="仿宋" w:hAnsi="仿宋" w:eastAsia="仿宋"/>
          <w:sz w:val="32"/>
          <w:szCs w:val="32"/>
        </w:rPr>
        <w:t>（三）负责本行政区域内的民政、计划生育、文化教育、卫生、体育等社会公益事业的综合性工作，维护一切经济单位和个人的正当经济权益，取缔非法经济活动。</w:t>
      </w:r>
    </w:p>
    <w:p>
      <w:pPr>
        <w:spacing w:line="600" w:lineRule="exact"/>
        <w:ind w:firstLine="640" w:firstLineChars="200"/>
        <w:rPr>
          <w:rFonts w:ascii="仿宋" w:hAnsi="仿宋" w:eastAsia="仿宋"/>
          <w:sz w:val="32"/>
          <w:szCs w:val="32"/>
        </w:rPr>
      </w:pPr>
      <w:r>
        <w:rPr>
          <w:rFonts w:ascii="仿宋" w:hAnsi="仿宋" w:eastAsia="仿宋"/>
          <w:sz w:val="32"/>
          <w:szCs w:val="32"/>
        </w:rPr>
        <w:t>（四）按计划组织本级财政收入和地方税的征收，完成国家财政计划，不断培植税源，管好财政资金，增强财政实力。</w:t>
      </w:r>
    </w:p>
    <w:p>
      <w:pPr>
        <w:spacing w:line="600" w:lineRule="exact"/>
        <w:ind w:firstLine="640" w:firstLineChars="200"/>
        <w:rPr>
          <w:rFonts w:ascii="仿宋" w:hAnsi="仿宋" w:eastAsia="仿宋"/>
          <w:sz w:val="32"/>
          <w:szCs w:val="32"/>
        </w:rPr>
      </w:pPr>
      <w:r>
        <w:rPr>
          <w:rFonts w:ascii="仿宋" w:hAnsi="仿宋" w:eastAsia="仿宋"/>
          <w:sz w:val="32"/>
          <w:szCs w:val="32"/>
        </w:rPr>
        <w:t>（五）抓好精神文明建设，丰富群众文化生活，提倡移风易俗，反对封建迷信，破除陈规陋习，树立社会主义新风尚。</w:t>
      </w:r>
    </w:p>
    <w:p>
      <w:pPr>
        <w:spacing w:line="600" w:lineRule="exact"/>
        <w:ind w:firstLine="640" w:firstLineChars="200"/>
        <w:rPr>
          <w:rFonts w:ascii="仿宋" w:hAnsi="仿宋" w:eastAsia="仿宋"/>
          <w:sz w:val="32"/>
          <w:szCs w:val="32"/>
        </w:rPr>
      </w:pPr>
      <w:r>
        <w:rPr>
          <w:rFonts w:ascii="仿宋" w:hAnsi="仿宋" w:eastAsia="仿宋"/>
          <w:sz w:val="32"/>
          <w:szCs w:val="32"/>
        </w:rPr>
        <w:t>（六）完成上级政府交办的其</w:t>
      </w:r>
      <w:r>
        <w:rPr>
          <w:rFonts w:hint="eastAsia" w:ascii="仿宋" w:hAnsi="仿宋" w:eastAsia="仿宋"/>
          <w:sz w:val="32"/>
          <w:szCs w:val="32"/>
          <w:lang w:eastAsia="zh-CN"/>
        </w:rPr>
        <w:t>他</w:t>
      </w:r>
      <w:r>
        <w:rPr>
          <w:rFonts w:ascii="仿宋" w:hAnsi="仿宋" w:eastAsia="仿宋"/>
          <w:sz w:val="32"/>
          <w:szCs w:val="32"/>
        </w:rPr>
        <w:t>事项。</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二、部门决算单位基本情况</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sz w:val="32"/>
          <w:szCs w:val="32"/>
        </w:rPr>
      </w:pPr>
      <w:r>
        <w:rPr>
          <w:rFonts w:ascii="仿宋" w:hAnsi="仿宋" w:eastAsia="仿宋"/>
          <w:sz w:val="32"/>
          <w:szCs w:val="32"/>
        </w:rPr>
        <w:t>从决算单位构成看，尤溪县城关镇人民政府包括1个机关行政股室及5个下属单位，其中：列入202</w:t>
      </w:r>
      <w:r>
        <w:rPr>
          <w:rFonts w:hint="eastAsia" w:ascii="仿宋" w:hAnsi="仿宋" w:eastAsia="仿宋"/>
          <w:sz w:val="32"/>
          <w:szCs w:val="32"/>
        </w:rPr>
        <w:t>3</w:t>
      </w:r>
      <w:r>
        <w:rPr>
          <w:rFonts w:ascii="仿宋" w:hAnsi="仿宋" w:eastAsia="仿宋"/>
          <w:sz w:val="32"/>
          <w:szCs w:val="32"/>
        </w:rPr>
        <w:t>年部门决算编制范围的单位详细情况见下表: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sz w:val="32"/>
                <w:szCs w:val="32"/>
              </w:rPr>
            </w:pPr>
            <w:r>
              <w:rPr>
                <w:rFonts w:ascii="仿宋" w:hAnsi="仿宋" w:eastAsia="仿宋"/>
                <w:sz w:val="32"/>
                <w:szCs w:val="32"/>
              </w:rPr>
              <w:t>单位名称</w:t>
            </w:r>
          </w:p>
        </w:tc>
        <w:tc>
          <w:tcPr>
            <w:tcW w:w="0" w:type="auto"/>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sz w:val="32"/>
                <w:szCs w:val="32"/>
              </w:rPr>
            </w:pPr>
            <w:r>
              <w:rPr>
                <w:rFonts w:ascii="仿宋" w:hAnsi="仿宋" w:eastAsia="仿宋"/>
                <w:sz w:val="32"/>
                <w:szCs w:val="32"/>
              </w:rPr>
              <w:t>单位性质</w:t>
            </w:r>
          </w:p>
        </w:tc>
        <w:tc>
          <w:tcPr>
            <w:tcW w:w="0" w:type="auto"/>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sz w:val="32"/>
                <w:szCs w:val="32"/>
              </w:rPr>
            </w:pPr>
            <w:r>
              <w:rPr>
                <w:rFonts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sz w:val="32"/>
                <w:szCs w:val="32"/>
                <w:lang w:val="zh-CN"/>
              </w:rPr>
            </w:pPr>
            <w:r>
              <w:rPr>
                <w:rFonts w:ascii="仿宋" w:hAnsi="仿宋" w:eastAsia="仿宋"/>
                <w:sz w:val="32"/>
                <w:szCs w:val="32"/>
                <w:lang w:val="zh-CN"/>
              </w:rPr>
              <w:t>尤溪县城关镇人民政府</w:t>
            </w:r>
          </w:p>
        </w:tc>
        <w:tc>
          <w:tcPr>
            <w:tcW w:w="0" w:type="auto"/>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sz w:val="32"/>
                <w:szCs w:val="32"/>
                <w:lang w:val="zh-CN"/>
              </w:rPr>
            </w:pPr>
            <w:r>
              <w:rPr>
                <w:rFonts w:ascii="仿宋" w:hAnsi="仿宋" w:eastAsia="仿宋"/>
                <w:sz w:val="32"/>
                <w:szCs w:val="32"/>
                <w:lang w:val="zh-CN"/>
              </w:rPr>
              <w:t>财政核拨</w:t>
            </w:r>
          </w:p>
        </w:tc>
        <w:tc>
          <w:tcPr>
            <w:tcW w:w="0" w:type="auto"/>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center"/>
              <w:rPr>
                <w:rFonts w:ascii="仿宋" w:hAnsi="仿宋" w:eastAsia="仿宋"/>
                <w:sz w:val="32"/>
                <w:szCs w:val="32"/>
                <w:lang w:val="zh-CN"/>
              </w:rPr>
            </w:pPr>
            <w:r>
              <w:rPr>
                <w:rFonts w:hint="eastAsia" w:ascii="仿宋" w:hAnsi="仿宋" w:eastAsia="仿宋"/>
                <w:sz w:val="32"/>
                <w:szCs w:val="32"/>
                <w:lang w:val="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sz w:val="32"/>
                <w:szCs w:val="32"/>
                <w:lang w:val="zh-CN"/>
              </w:rPr>
            </w:pPr>
            <w:r>
              <w:rPr>
                <w:rFonts w:ascii="仿宋" w:hAnsi="仿宋" w:eastAsia="仿宋"/>
                <w:sz w:val="32"/>
                <w:szCs w:val="32"/>
                <w:lang w:val="zh-CN"/>
              </w:rPr>
              <w:t>城关镇经济发展综合服务中心</w:t>
            </w:r>
          </w:p>
        </w:tc>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rPr>
            </w:pPr>
            <w:r>
              <w:rPr>
                <w:rFonts w:ascii="仿宋" w:hAnsi="仿宋" w:eastAsia="仿宋"/>
                <w:sz w:val="32"/>
                <w:szCs w:val="32"/>
                <w:lang w:val="zh-CN"/>
              </w:rPr>
              <w:t>财政核拨</w:t>
            </w:r>
          </w:p>
        </w:tc>
        <w:tc>
          <w:tcPr>
            <w:tcW w:w="0" w:type="auto"/>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32"/>
                <w:szCs w:val="32"/>
                <w:lang w:val="zh-CN"/>
              </w:rPr>
            </w:pPr>
            <w:r>
              <w:rPr>
                <w:rFonts w:ascii="仿宋" w:hAnsi="仿宋" w:eastAsia="仿宋"/>
                <w:sz w:val="32"/>
                <w:szCs w:val="32"/>
                <w:lang w:val="zh-CN"/>
              </w:rPr>
              <w:t>1</w:t>
            </w:r>
            <w:r>
              <w:rPr>
                <w:rFonts w:hint="eastAsia" w:ascii="仿宋" w:hAnsi="仿宋" w:eastAsia="仿宋"/>
                <w:sz w:val="32"/>
                <w:szCs w:val="32"/>
                <w:lang w:val="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rPr>
            </w:pPr>
            <w:r>
              <w:rPr>
                <w:rFonts w:ascii="仿宋" w:hAnsi="仿宋" w:eastAsia="仿宋"/>
                <w:sz w:val="32"/>
                <w:szCs w:val="32"/>
                <w:lang w:val="zh-CN"/>
              </w:rPr>
              <w:t>城关镇社会事务综合服务中心</w:t>
            </w:r>
          </w:p>
        </w:tc>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rPr>
            </w:pPr>
            <w:r>
              <w:rPr>
                <w:rFonts w:ascii="仿宋" w:hAnsi="仿宋" w:eastAsia="仿宋"/>
                <w:sz w:val="32"/>
                <w:szCs w:val="32"/>
                <w:lang w:val="zh-CN"/>
              </w:rPr>
              <w:t>财政核拨</w:t>
            </w:r>
          </w:p>
        </w:tc>
        <w:tc>
          <w:tcPr>
            <w:tcW w:w="0" w:type="auto"/>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32"/>
                <w:szCs w:val="32"/>
                <w:lang w:val="zh-CN"/>
              </w:rPr>
            </w:pPr>
            <w:r>
              <w:rPr>
                <w:rFonts w:ascii="仿宋" w:hAnsi="仿宋" w:eastAsia="仿宋"/>
                <w:sz w:val="32"/>
                <w:szCs w:val="32"/>
                <w:lang w:val="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rPr>
            </w:pPr>
            <w:r>
              <w:rPr>
                <w:rFonts w:ascii="仿宋" w:hAnsi="仿宋" w:eastAsia="仿宋"/>
                <w:sz w:val="32"/>
                <w:szCs w:val="32"/>
                <w:lang w:val="zh-CN"/>
              </w:rPr>
              <w:t>综合执法大队</w:t>
            </w:r>
          </w:p>
        </w:tc>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rPr>
            </w:pPr>
            <w:r>
              <w:rPr>
                <w:rFonts w:ascii="仿宋" w:hAnsi="仿宋" w:eastAsia="仿宋"/>
                <w:sz w:val="32"/>
                <w:szCs w:val="32"/>
                <w:lang w:val="zh-CN"/>
              </w:rPr>
              <w:t>财政核拨</w:t>
            </w:r>
          </w:p>
        </w:tc>
        <w:tc>
          <w:tcPr>
            <w:tcW w:w="0" w:type="auto"/>
            <w:tcBorders>
              <w:top w:val="single" w:color="auto" w:sz="4" w:space="0"/>
              <w:left w:val="single" w:color="auto" w:sz="4" w:space="0"/>
              <w:bottom w:val="single" w:color="auto" w:sz="4" w:space="0"/>
              <w:right w:val="single" w:color="auto" w:sz="4" w:space="0"/>
            </w:tcBorders>
            <w:vAlign w:val="bottom"/>
          </w:tcPr>
          <w:p>
            <w:pPr>
              <w:tabs>
                <w:tab w:val="left" w:pos="7513"/>
              </w:tabs>
              <w:adjustRightInd w:val="0"/>
              <w:snapToGrid w:val="0"/>
              <w:spacing w:line="600" w:lineRule="exact"/>
              <w:jc w:val="center"/>
              <w:rPr>
                <w:rFonts w:ascii="仿宋" w:hAnsi="仿宋" w:eastAsia="仿宋"/>
                <w:sz w:val="32"/>
                <w:szCs w:val="32"/>
                <w:lang w:val="zh-CN"/>
              </w:rPr>
            </w:pPr>
            <w:r>
              <w:rPr>
                <w:rFonts w:ascii="仿宋" w:hAnsi="仿宋" w:eastAsia="仿宋"/>
                <w:sz w:val="32"/>
                <w:szCs w:val="32"/>
                <w:lang w:val="zh-CN"/>
              </w:rPr>
              <w:t>1</w:t>
            </w:r>
            <w:r>
              <w:rPr>
                <w:rFonts w:hint="eastAsia" w:ascii="仿宋" w:hAnsi="仿宋" w:eastAsia="仿宋"/>
                <w:sz w:val="32"/>
                <w:szCs w:val="32"/>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lang w:val="zh-CN"/>
              </w:rPr>
            </w:pPr>
            <w:r>
              <w:rPr>
                <w:rFonts w:ascii="仿宋" w:hAnsi="仿宋" w:eastAsia="仿宋"/>
                <w:sz w:val="32"/>
                <w:szCs w:val="32"/>
                <w:lang w:val="zh-CN"/>
              </w:rPr>
              <w:t>城关镇畜牧兽医水产站</w:t>
            </w:r>
          </w:p>
        </w:tc>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lang w:val="zh-CN"/>
              </w:rPr>
            </w:pPr>
            <w:r>
              <w:rPr>
                <w:rFonts w:ascii="仿宋" w:hAnsi="仿宋" w:eastAsia="仿宋"/>
                <w:sz w:val="32"/>
                <w:szCs w:val="32"/>
                <w:lang w:val="zh-CN"/>
              </w:rPr>
              <w:t>财政核拨</w:t>
            </w:r>
          </w:p>
        </w:tc>
        <w:tc>
          <w:tcPr>
            <w:tcW w:w="0" w:type="auto"/>
            <w:tcBorders>
              <w:top w:val="single" w:color="auto" w:sz="4" w:space="0"/>
              <w:left w:val="single" w:color="auto" w:sz="4" w:space="0"/>
              <w:bottom w:val="single" w:color="auto" w:sz="4" w:space="0"/>
              <w:right w:val="single" w:color="auto" w:sz="4" w:space="0"/>
            </w:tcBorders>
            <w:vAlign w:val="bottom"/>
          </w:tcPr>
          <w:p>
            <w:pPr>
              <w:tabs>
                <w:tab w:val="left" w:pos="7513"/>
              </w:tabs>
              <w:adjustRightInd w:val="0"/>
              <w:snapToGrid w:val="0"/>
              <w:spacing w:line="600" w:lineRule="exact"/>
              <w:jc w:val="center"/>
              <w:rPr>
                <w:rFonts w:ascii="仿宋" w:hAnsi="仿宋" w:eastAsia="仿宋"/>
                <w:sz w:val="32"/>
                <w:szCs w:val="32"/>
                <w:lang w:val="zh-CN"/>
              </w:rPr>
            </w:pPr>
            <w:r>
              <w:rPr>
                <w:rFonts w:hint="eastAsia" w:ascii="仿宋" w:hAnsi="仿宋" w:eastAsia="仿宋"/>
                <w:sz w:val="32"/>
                <w:szCs w:val="32"/>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lang w:val="zh-CN"/>
              </w:rPr>
            </w:pPr>
            <w:r>
              <w:rPr>
                <w:rFonts w:ascii="仿宋" w:hAnsi="仿宋" w:eastAsia="仿宋"/>
                <w:sz w:val="32"/>
                <w:szCs w:val="32"/>
                <w:lang w:val="zh-CN"/>
              </w:rPr>
              <w:t>城关镇企业服务中心</w:t>
            </w:r>
          </w:p>
        </w:tc>
        <w:tc>
          <w:tcPr>
            <w:tcW w:w="0" w:type="auto"/>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32"/>
                <w:szCs w:val="32"/>
                <w:lang w:val="zh-CN"/>
              </w:rPr>
            </w:pPr>
            <w:r>
              <w:rPr>
                <w:rFonts w:ascii="仿宋" w:hAnsi="仿宋" w:eastAsia="仿宋"/>
                <w:sz w:val="32"/>
                <w:szCs w:val="32"/>
                <w:lang w:val="zh-CN"/>
              </w:rPr>
              <w:t>自收自支</w:t>
            </w:r>
          </w:p>
        </w:tc>
        <w:tc>
          <w:tcPr>
            <w:tcW w:w="0" w:type="auto"/>
            <w:tcBorders>
              <w:top w:val="single" w:color="auto" w:sz="4" w:space="0"/>
              <w:left w:val="single" w:color="auto" w:sz="4" w:space="0"/>
              <w:bottom w:val="single" w:color="auto" w:sz="4" w:space="0"/>
              <w:right w:val="single" w:color="auto" w:sz="4" w:space="0"/>
            </w:tcBorders>
            <w:vAlign w:val="bottom"/>
          </w:tcPr>
          <w:p>
            <w:pPr>
              <w:tabs>
                <w:tab w:val="left" w:pos="7513"/>
              </w:tabs>
              <w:adjustRightInd w:val="0"/>
              <w:snapToGrid w:val="0"/>
              <w:spacing w:line="600" w:lineRule="exact"/>
              <w:jc w:val="center"/>
              <w:rPr>
                <w:rFonts w:ascii="仿宋" w:hAnsi="仿宋" w:eastAsia="仿宋"/>
                <w:sz w:val="32"/>
                <w:szCs w:val="32"/>
                <w:lang w:val="zh-CN"/>
              </w:rPr>
            </w:pPr>
            <w:r>
              <w:rPr>
                <w:rFonts w:ascii="仿宋" w:hAnsi="仿宋" w:eastAsia="仿宋"/>
                <w:sz w:val="32"/>
                <w:szCs w:val="32"/>
                <w:lang w:val="zh-CN"/>
              </w:rPr>
              <w:t>15</w:t>
            </w:r>
          </w:p>
        </w:tc>
      </w:tr>
    </w:tbl>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三、部门主要工作总结</w:t>
      </w:r>
    </w:p>
    <w:p>
      <w:pPr>
        <w:spacing w:line="580" w:lineRule="exact"/>
        <w:ind w:firstLine="640" w:firstLineChars="200"/>
        <w:rPr>
          <w:rFonts w:ascii="仿宋" w:hAnsi="仿宋" w:eastAsia="仿宋"/>
          <w:sz w:val="32"/>
          <w:szCs w:val="32"/>
        </w:rPr>
      </w:pPr>
      <w:r>
        <w:rPr>
          <w:rFonts w:ascii="仿宋" w:hAnsi="仿宋" w:eastAsia="仿宋"/>
          <w:sz w:val="32"/>
          <w:szCs w:val="32"/>
        </w:rPr>
        <w:t>2023年以来，城关镇始终坚持以习近平新时代中国特色社会主义思想为指导，深入学习贯彻党的二十大精神和习近平总书记来闽来明考察重要讲话精神以及省、市、县各级会议精神，紧紧围绕县委、县政府和镇党委的安排部署，扎实开展省委“三争”行动，聚力落实市委“抓重大项目，促高质量发展”工作部署，以开展“三个攻坚冲刺年”活动、“百日攻坚”行动为抓手，转作风、抓落实，团结带领全体镇村居干部群众凝心聚力、真抓实干，全镇经济社会发展取得了新的进步和成效。我们主要做了以下工作：</w:t>
      </w:r>
    </w:p>
    <w:p>
      <w:pPr>
        <w:spacing w:line="580" w:lineRule="exact"/>
        <w:ind w:firstLine="642" w:firstLineChars="200"/>
        <w:textAlignment w:val="baseline"/>
        <w:rPr>
          <w:rStyle w:val="22"/>
          <w:rFonts w:ascii="仿宋" w:hAnsi="仿宋" w:eastAsia="仿宋"/>
          <w:color w:val="000000"/>
          <w:sz w:val="32"/>
          <w:szCs w:val="32"/>
        </w:rPr>
      </w:pPr>
      <w:r>
        <w:rPr>
          <w:rStyle w:val="22"/>
          <w:rFonts w:ascii="仿宋" w:hAnsi="仿宋" w:eastAsia="仿宋"/>
          <w:color w:val="000000"/>
          <w:sz w:val="32"/>
          <w:szCs w:val="32"/>
        </w:rPr>
        <w:t>一年来，我们加快经济发展，产业经济注入新动能。</w:t>
      </w:r>
    </w:p>
    <w:p>
      <w:pPr>
        <w:pStyle w:val="19"/>
        <w:spacing w:line="580" w:lineRule="exact"/>
        <w:ind w:left="0" w:leftChars="0" w:firstLine="618"/>
        <w:rPr>
          <w:rFonts w:ascii="仿宋" w:hAnsi="仿宋" w:eastAsia="仿宋"/>
          <w:color w:val="auto"/>
          <w:szCs w:val="32"/>
        </w:rPr>
      </w:pPr>
      <w:r>
        <w:rPr>
          <w:rFonts w:ascii="仿宋" w:hAnsi="仿宋" w:eastAsia="仿宋"/>
          <w:b/>
          <w:bCs/>
          <w:color w:val="auto"/>
          <w:spacing w:val="-6"/>
          <w:szCs w:val="32"/>
        </w:rPr>
        <w:t>一是经济指标稳中有进。</w:t>
      </w:r>
      <w:r>
        <w:rPr>
          <w:rFonts w:ascii="仿宋" w:hAnsi="仿宋" w:eastAsia="仿宋"/>
          <w:color w:val="auto"/>
          <w:szCs w:val="32"/>
        </w:rPr>
        <w:t>2023年，全镇农林牧渔业产值27536.6万元；社会固定资产投资项目15个，完成投资额35589.3万元；全镇财政收入2028万元；城乡居民可支配收入32846元。各项经济数据稳中有进，基本完成年初确定的各项目标任务。</w:t>
      </w:r>
      <w:r>
        <w:rPr>
          <w:rFonts w:ascii="仿宋" w:hAnsi="仿宋" w:eastAsia="仿宋"/>
          <w:b/>
          <w:bCs/>
          <w:color w:val="auto"/>
          <w:spacing w:val="-6"/>
          <w:szCs w:val="32"/>
        </w:rPr>
        <w:t>二是产业经济全面发展。</w:t>
      </w:r>
      <w:r>
        <w:rPr>
          <w:rFonts w:ascii="仿宋" w:hAnsi="仿宋" w:eastAsia="仿宋"/>
          <w:color w:val="auto"/>
          <w:szCs w:val="32"/>
        </w:rPr>
        <w:t>农业产业方面，2023年完成粮食播种面积5918亩，产量2289吨；完成各类经济作物种植面积6217亩，总产量9871吨；工业产业方面，积极推进老企业转型升级扩能，紧紧抓好新建项目快速落地投产，全镇工业规模以上企业在库15家，2023年累计完成产值19.466亿元。项目培育方面，强化主体培育，多方面发力突破，多产业融合发展，提升自身“造血”能力，全年完成工业企业培育上规1家(闽德纺织)、批零住餐企业培育上规4家、服务业企业培育上规2家。</w:t>
      </w:r>
      <w:r>
        <w:rPr>
          <w:rFonts w:ascii="仿宋" w:hAnsi="仿宋" w:eastAsia="仿宋"/>
          <w:b/>
          <w:bCs/>
          <w:color w:val="auto"/>
          <w:szCs w:val="32"/>
        </w:rPr>
        <w:t>三是营商环境全面优化。</w:t>
      </w:r>
      <w:r>
        <w:rPr>
          <w:rFonts w:ascii="仿宋" w:hAnsi="仿宋" w:eastAsia="仿宋"/>
          <w:color w:val="auto"/>
          <w:szCs w:val="32"/>
        </w:rPr>
        <w:t>对辖区内31家工业企业、12家批零住餐企业和6家服务业企业实行领导挂包机制，同时做好辖区内“规上+规下”以及服务业企业的帮扶工作。深入走访企业，全面推进项目落地投产，着力解决企业的实际困难和问题，协调闽德纺织招工、普利制衣荧光生产项目供水不足等8个问题解决。</w:t>
      </w:r>
    </w:p>
    <w:p>
      <w:pPr>
        <w:pStyle w:val="19"/>
        <w:spacing w:line="580" w:lineRule="exact"/>
        <w:ind w:left="0" w:leftChars="0" w:firstLine="643"/>
        <w:rPr>
          <w:rStyle w:val="22"/>
          <w:rFonts w:ascii="仿宋" w:hAnsi="仿宋" w:eastAsia="仿宋"/>
          <w:szCs w:val="32"/>
        </w:rPr>
      </w:pPr>
      <w:r>
        <w:rPr>
          <w:rStyle w:val="22"/>
          <w:rFonts w:ascii="仿宋" w:hAnsi="仿宋" w:eastAsia="仿宋"/>
          <w:szCs w:val="32"/>
        </w:rPr>
        <w:t>一年来，我们推动项目攻坚，助力城关高质量发展。</w:t>
      </w:r>
    </w:p>
    <w:p>
      <w:pPr>
        <w:pStyle w:val="19"/>
        <w:spacing w:line="580" w:lineRule="exact"/>
        <w:ind w:left="0" w:leftChars="0" w:firstLine="618"/>
        <w:rPr>
          <w:rStyle w:val="22"/>
          <w:rFonts w:ascii="仿宋" w:hAnsi="仿宋" w:eastAsia="仿宋"/>
          <w:szCs w:val="32"/>
        </w:rPr>
      </w:pPr>
      <w:r>
        <w:rPr>
          <w:rFonts w:ascii="仿宋" w:hAnsi="仿宋" w:eastAsia="仿宋"/>
          <w:b/>
          <w:bCs/>
          <w:color w:val="auto"/>
          <w:spacing w:val="-6"/>
          <w:szCs w:val="32"/>
        </w:rPr>
        <w:t>一是实施移民库区项目。</w:t>
      </w:r>
      <w:r>
        <w:rPr>
          <w:rFonts w:ascii="仿宋" w:hAnsi="仿宋" w:eastAsia="仿宋"/>
          <w:color w:val="auto"/>
          <w:spacing w:val="-6"/>
          <w:szCs w:val="32"/>
        </w:rPr>
        <w:t>推动移民村基础设施提档升级，提升公共服务水平，全速推进项目建设，不断增强移民群众获得感和幸福感。“秀美紫阳 生态库区”项目是全省第四批库区后扶项目中第一个开工项目。项目施工按计划分三期实施，其中，项目一期总投资482万元，目前已完成设计内房屋立面提升，居民区、村标景观节点建设，居民区电网及雨水、污水管网改造等，完成投资约390万元。项目二期总投资848万元，目前已完成道路挡墙工程量的60%，完成投资约110万元。项目三期总投资约470万元，涉及观景平台、移民公园、移民陈列馆修缮及周边场地建设、河岸景观节点打造、儿童微乐园、节点亮化等工程，目前，设计已完成，正在同步进行预算和预审。</w:t>
      </w:r>
      <w:r>
        <w:rPr>
          <w:rFonts w:ascii="仿宋" w:hAnsi="仿宋" w:eastAsia="仿宋"/>
          <w:b/>
          <w:bCs/>
          <w:color w:val="auto"/>
          <w:spacing w:val="-6"/>
          <w:szCs w:val="32"/>
        </w:rPr>
        <w:t>二是聚焦城南园征迁重点。</w:t>
      </w:r>
      <w:r>
        <w:rPr>
          <w:rFonts w:ascii="仿宋" w:hAnsi="仿宋" w:eastAsia="仿宋"/>
          <w:color w:val="auto"/>
          <w:spacing w:val="-6"/>
          <w:szCs w:val="32"/>
        </w:rPr>
        <w:t>征迁攻坚团队发扬“早上六点半，中午工地饭，晚上挑灯干”精神，针对腾洋村小作坊（粉干厂）、陈家众房安置地、公墓安置地等重点，通过召开座谈会、入户走访形式化解矛盾和实施保护性措施相结合，加快实现供地。2023年来，完成城南基础设施建设项目遗留的陈家兄弟等14亩自留山林木及陈家众房和地面物清理，完成150亩土地平整和20穴坟墓迁移。</w:t>
      </w:r>
      <w:r>
        <w:rPr>
          <w:rFonts w:ascii="仿宋" w:hAnsi="仿宋" w:eastAsia="仿宋"/>
          <w:b/>
          <w:bCs/>
          <w:color w:val="auto"/>
          <w:szCs w:val="32"/>
        </w:rPr>
        <w:t>三是推动城莒线（入园道路2）项目征迁。</w:t>
      </w:r>
      <w:r>
        <w:rPr>
          <w:rFonts w:ascii="仿宋" w:hAnsi="仿宋" w:eastAsia="仿宋"/>
          <w:color w:val="auto"/>
          <w:szCs w:val="32"/>
        </w:rPr>
        <w:t>围</w:t>
      </w:r>
      <w:r>
        <w:rPr>
          <w:rFonts w:ascii="仿宋" w:hAnsi="仿宋" w:eastAsia="仿宋"/>
          <w:color w:val="auto"/>
          <w:spacing w:val="-6"/>
          <w:szCs w:val="32"/>
        </w:rPr>
        <w:t>绕尤溪经济开发区城南园三期城莒线一标段项目攻坚任务，累计走访252户征迁对象进行宣传动员，张贴公告20张，发放宣传单300份，对接9个宗祠负责人、理事长，完成9个宗祠和14户房屋测量，以及188户地面苗木和附着物调查登记；累计测量112亩面积，制作补偿结算表215张，2023年“百日攻坚”期间，完成104处地面附着物清理、61处坟墓迁移。</w:t>
      </w:r>
    </w:p>
    <w:p>
      <w:pPr>
        <w:pStyle w:val="19"/>
        <w:spacing w:line="580" w:lineRule="exact"/>
        <w:ind w:left="0" w:leftChars="0" w:firstLine="643"/>
        <w:rPr>
          <w:rStyle w:val="22"/>
          <w:rFonts w:ascii="仿宋" w:hAnsi="仿宋" w:eastAsia="仿宋"/>
          <w:szCs w:val="32"/>
        </w:rPr>
      </w:pPr>
      <w:r>
        <w:rPr>
          <w:rStyle w:val="22"/>
          <w:rFonts w:ascii="仿宋" w:hAnsi="仿宋" w:eastAsia="仿宋"/>
          <w:szCs w:val="32"/>
        </w:rPr>
        <w:t>一年来，我们围绕城乡建设，人居环境不断改善。</w:t>
      </w:r>
    </w:p>
    <w:p>
      <w:pPr>
        <w:pStyle w:val="19"/>
        <w:spacing w:line="580" w:lineRule="exact"/>
        <w:ind w:left="0" w:leftChars="0" w:firstLine="618"/>
        <w:rPr>
          <w:rStyle w:val="22"/>
          <w:rFonts w:ascii="仿宋" w:hAnsi="仿宋" w:eastAsia="仿宋"/>
          <w:szCs w:val="32"/>
        </w:rPr>
      </w:pPr>
      <w:r>
        <w:rPr>
          <w:rFonts w:ascii="仿宋" w:hAnsi="仿宋" w:eastAsia="仿宋"/>
          <w:b/>
          <w:bCs/>
          <w:color w:val="auto"/>
          <w:spacing w:val="-6"/>
          <w:szCs w:val="32"/>
        </w:rPr>
        <w:t>一是加快乡村振兴示范点建设。</w:t>
      </w:r>
      <w:r>
        <w:rPr>
          <w:rFonts w:ascii="仿宋" w:hAnsi="仿宋" w:eastAsia="仿宋"/>
          <w:color w:val="auto"/>
          <w:spacing w:val="-6"/>
          <w:szCs w:val="32"/>
        </w:rPr>
        <w:t>以业态建设为突破，加快乡村振兴相关项目的实施，妥善解决集装箱预制资金问题。下村村乡村振兴试点村示范创建项目完成30个主体营房建设，年度投资额全县第一；全镇50户新改建农厕、50亩撂荒地复耕复垦、2.07亩违法用地整治全面完成。</w:t>
      </w:r>
      <w:r>
        <w:rPr>
          <w:rFonts w:ascii="仿宋" w:hAnsi="仿宋" w:eastAsia="仿宋"/>
          <w:b/>
          <w:bCs/>
          <w:color w:val="auto"/>
          <w:spacing w:val="-6"/>
          <w:szCs w:val="32"/>
        </w:rPr>
        <w:t>二是推进老旧小区改造。</w:t>
      </w:r>
      <w:r>
        <w:rPr>
          <w:rFonts w:ascii="仿宋" w:hAnsi="仿宋" w:eastAsia="仿宋"/>
          <w:color w:val="auto"/>
          <w:spacing w:val="-6"/>
          <w:szCs w:val="32"/>
        </w:rPr>
        <w:t>完成一至四期改造工程，第五期改造工程也已进入扫尾阶段，累计改造面积达93.39万平方米，惠及7个社区共31个小区，居民9738户。加快电梯加装工作，通过召开“近邻恳谈会”、楼栋座谈会、上门征求意见等方式，召集业主强化沟通，全年累计完成33部电梯安装，惠及居民428户1386人。加快“两违”拆除，以党员代表、公职人员为突破口，带头签订拆除协议，带动周边邻居，加快改造步伐，完成146处2403.67平方米杂物间的拆除。加快便民设施建设，大力实施“为民办实事”项目，充分利用城区公共开放空间，在调研走访、听取民意、因地制宜的基础上，建设户外花园式、小区室内型等微游乐园项目11个、便民微节点7个，增设配套设施。</w:t>
      </w:r>
      <w:r>
        <w:rPr>
          <w:rFonts w:ascii="仿宋" w:hAnsi="仿宋" w:eastAsia="仿宋"/>
          <w:b/>
          <w:bCs/>
          <w:color w:val="auto"/>
          <w:spacing w:val="-6"/>
          <w:szCs w:val="32"/>
        </w:rPr>
        <w:t>三是提升安置区品质。</w:t>
      </w:r>
      <w:r>
        <w:rPr>
          <w:rFonts w:ascii="仿宋" w:hAnsi="仿宋" w:eastAsia="仿宋"/>
          <w:color w:val="auto"/>
          <w:spacing w:val="-6"/>
          <w:szCs w:val="32"/>
        </w:rPr>
        <w:t>坚持把城南园安置区作为安置示范点来打造，梳理解决遗留的网线下地、25户安置宅基地未及时建设和装修等问题。完成了安置区剩余宅基地整治、供电设计方案预算审核、房前硬化和屋后庭院设计等；同时，</w:t>
      </w:r>
      <w:r>
        <w:rPr>
          <w:rFonts w:hint="eastAsia" w:ascii="仿宋" w:hAnsi="仿宋" w:eastAsia="仿宋"/>
          <w:color w:val="auto"/>
          <w:spacing w:val="-6"/>
          <w:szCs w:val="32"/>
          <w:lang w:eastAsia="zh-CN"/>
        </w:rPr>
        <w:t>加强</w:t>
      </w:r>
      <w:r>
        <w:rPr>
          <w:rFonts w:ascii="仿宋" w:hAnsi="仿宋" w:eastAsia="仿宋"/>
          <w:color w:val="auto"/>
          <w:spacing w:val="-6"/>
          <w:szCs w:val="32"/>
        </w:rPr>
        <w:t>日常保洁、并建立“周督查、月抽查、季评比”长效保洁治理机制，加快示范区</w:t>
      </w:r>
      <w:bookmarkStart w:id="1" w:name="_GoBack"/>
      <w:bookmarkEnd w:id="1"/>
      <w:r>
        <w:rPr>
          <w:rFonts w:ascii="仿宋" w:hAnsi="仿宋" w:eastAsia="仿宋"/>
          <w:color w:val="auto"/>
          <w:spacing w:val="-6"/>
          <w:szCs w:val="32"/>
        </w:rPr>
        <w:t>建设。</w:t>
      </w:r>
    </w:p>
    <w:p>
      <w:pPr>
        <w:pStyle w:val="19"/>
        <w:spacing w:line="580" w:lineRule="exact"/>
        <w:ind w:left="0" w:leftChars="0" w:firstLine="643"/>
        <w:rPr>
          <w:rStyle w:val="22"/>
          <w:rFonts w:ascii="仿宋" w:hAnsi="仿宋" w:eastAsia="仿宋"/>
          <w:szCs w:val="32"/>
        </w:rPr>
      </w:pPr>
      <w:r>
        <w:rPr>
          <w:rStyle w:val="22"/>
          <w:rFonts w:ascii="仿宋" w:hAnsi="仿宋" w:eastAsia="仿宋"/>
          <w:szCs w:val="32"/>
        </w:rPr>
        <w:t>一年来，我们注重改善民生，社会事业呈现新气象。</w:t>
      </w:r>
    </w:p>
    <w:p>
      <w:pPr>
        <w:spacing w:line="580" w:lineRule="exact"/>
        <w:ind w:firstLine="618" w:firstLineChars="200"/>
        <w:rPr>
          <w:rStyle w:val="22"/>
          <w:rFonts w:ascii="仿宋" w:hAnsi="仿宋" w:eastAsia="仿宋"/>
          <w:color w:val="000000"/>
          <w:sz w:val="32"/>
          <w:szCs w:val="32"/>
        </w:rPr>
      </w:pPr>
      <w:r>
        <w:rPr>
          <w:rFonts w:ascii="仿宋" w:hAnsi="仿宋" w:eastAsia="仿宋"/>
          <w:b/>
          <w:bCs/>
          <w:spacing w:val="-6"/>
          <w:sz w:val="32"/>
          <w:szCs w:val="32"/>
        </w:rPr>
        <w:t>一是全面落实兜底保障。</w:t>
      </w:r>
      <w:r>
        <w:rPr>
          <w:rFonts w:ascii="仿宋" w:hAnsi="仿宋" w:eastAsia="仿宋"/>
          <w:spacing w:val="-6"/>
          <w:sz w:val="32"/>
          <w:szCs w:val="32"/>
        </w:rPr>
        <w:t>多层次做实民政工作，全力保障困难群众基本生活，切实提升群众获得感、幸福感、安全感，2023年全镇农村低保77户141人，城市低保128户186人，发放农村低保资金80.4万元、城市低保资金124.9万元、特困金74.9万元、临时救助资金27.9万元、残疾人“两项补贴”95.9万元。统筹抓好城乡养老保险、就业生活保障机制的落实，完成医保收缴28167人，完成率98.68%；2024年完成创业贷款24人420万元。</w:t>
      </w:r>
      <w:r>
        <w:rPr>
          <w:rFonts w:ascii="仿宋" w:hAnsi="仿宋" w:eastAsia="仿宋"/>
          <w:b/>
          <w:bCs/>
          <w:spacing w:val="-6"/>
          <w:sz w:val="32"/>
          <w:szCs w:val="32"/>
        </w:rPr>
        <w:t>二是深入开展平安建设。</w:t>
      </w:r>
      <w:r>
        <w:rPr>
          <w:rFonts w:ascii="仿宋" w:hAnsi="仿宋" w:eastAsia="仿宋"/>
          <w:spacing w:val="-6"/>
          <w:sz w:val="32"/>
          <w:szCs w:val="32"/>
        </w:rPr>
        <w:t>深刻认识我镇反电诈治理短板，紧扣“防范电信网络诈骗”宣传主题，开展反诈宣传活动110余场次，张贴横幅120余条，发放宣传单5万余份。同时，针对滞留境外涉诈重点人员，专班落实“三个一”机制，2023年来，共劝返5名滞留境外涉诈重点人员回国。抓好特殊人群服务管理，2023年衔接刑满释放人员58人，安置帮教率100%，目前在册人数227人，接收社区矫正对象90人，目前在册人数81人。加强矛盾纠纷化解，根据“六定五包”要求，采取“一人一策”“一事一专班”的工作措施开展化解稳控。2023年，我镇共接待受理群众来信来访1184件，其中，来镇信访诉求267件385余人次，12345平台受理887件，省信访信息系统受理40件。</w:t>
      </w:r>
      <w:r>
        <w:rPr>
          <w:rFonts w:ascii="仿宋" w:hAnsi="仿宋" w:eastAsia="仿宋"/>
          <w:b/>
          <w:bCs/>
          <w:spacing w:val="-6"/>
          <w:sz w:val="32"/>
          <w:szCs w:val="32"/>
        </w:rPr>
        <w:t>三是加速推进地灾点整治。</w:t>
      </w:r>
      <w:r>
        <w:rPr>
          <w:rFonts w:ascii="仿宋" w:hAnsi="仿宋" w:eastAsia="仿宋"/>
          <w:spacing w:val="-6"/>
          <w:sz w:val="32"/>
          <w:szCs w:val="32"/>
        </w:rPr>
        <w:t>克服资金困难，加快在建地灾点整治项目；主动对接省市自然资源部门，争取已入库地灾点整治项目的落地。目前，公山地灾点治理工程主体工程已完工，正在推进竣工手续办理；北门31-33号地灾点已完成16根抗滑桩浇筑；园溪村212-219号地灾点正在进行挡墙基础土层开挖工作；后山路48号地灾点整治已纳入国债项目库，完成4处治理点边坡清表，力争限期内完成主体工程建设，确保群众生命安全，进一步提升群众的安全感和满意度。</w:t>
      </w:r>
    </w:p>
    <w:p>
      <w:pPr>
        <w:spacing w:line="580" w:lineRule="exact"/>
        <w:ind w:firstLine="642" w:firstLineChars="200"/>
        <w:rPr>
          <w:rStyle w:val="22"/>
          <w:rFonts w:ascii="仿宋" w:hAnsi="仿宋" w:eastAsia="仿宋"/>
          <w:color w:val="000000"/>
          <w:sz w:val="32"/>
          <w:szCs w:val="32"/>
        </w:rPr>
      </w:pPr>
      <w:r>
        <w:rPr>
          <w:rStyle w:val="22"/>
          <w:rFonts w:ascii="仿宋" w:hAnsi="仿宋" w:eastAsia="仿宋"/>
          <w:color w:val="000000"/>
          <w:sz w:val="32"/>
          <w:szCs w:val="32"/>
        </w:rPr>
        <w:t>一年来，我们打造廉洁政府，作风效能持续优化。</w:t>
      </w:r>
    </w:p>
    <w:p>
      <w:pPr>
        <w:pStyle w:val="19"/>
        <w:spacing w:line="580" w:lineRule="exact"/>
        <w:ind w:left="0" w:leftChars="0" w:firstLine="618"/>
        <w:rPr>
          <w:rFonts w:ascii="仿宋" w:hAnsi="仿宋" w:eastAsia="仿宋"/>
          <w:color w:val="auto"/>
          <w:spacing w:val="-6"/>
          <w:szCs w:val="32"/>
        </w:rPr>
      </w:pPr>
      <w:r>
        <w:rPr>
          <w:rFonts w:ascii="仿宋" w:hAnsi="仿宋" w:eastAsia="仿宋"/>
          <w:b/>
          <w:bCs/>
          <w:color w:val="auto"/>
          <w:spacing w:val="-6"/>
          <w:szCs w:val="32"/>
        </w:rPr>
        <w:t>一是廉政建设不断深化。</w:t>
      </w:r>
      <w:r>
        <w:rPr>
          <w:rFonts w:ascii="仿宋" w:hAnsi="仿宋" w:eastAsia="仿宋"/>
          <w:color w:val="auto"/>
          <w:spacing w:val="-6"/>
          <w:szCs w:val="32"/>
        </w:rPr>
        <w:t>全镇上下牢固树立“四个意识”，坚定“四个自信”，坚决做到“两个维护”，不断加强理论学习，全面落实党风廉政建设责任制，切实履行“一岗双责”，严格执行中央八项规定及其实施细则，严格控制“三公经费”，坚决杜绝铺张浪费。不断深化政务公开，保障人民群众知情权、参与权、表达权、监督权，“政务＋服务”工作不断夯实，人民群众对党和政府的信任度、满意度进一步提高。</w:t>
      </w:r>
      <w:r>
        <w:rPr>
          <w:rFonts w:ascii="仿宋" w:hAnsi="仿宋" w:eastAsia="仿宋"/>
          <w:b/>
          <w:bCs/>
          <w:color w:val="auto"/>
          <w:spacing w:val="-6"/>
          <w:szCs w:val="32"/>
        </w:rPr>
        <w:t>二是制度建设不断完善。</w:t>
      </w:r>
      <w:r>
        <w:rPr>
          <w:rFonts w:ascii="仿宋" w:hAnsi="仿宋" w:eastAsia="仿宋"/>
          <w:color w:val="auto"/>
          <w:spacing w:val="-6"/>
          <w:szCs w:val="32"/>
        </w:rPr>
        <w:t>修订</w:t>
      </w:r>
      <w:r>
        <w:rPr>
          <w:rFonts w:ascii="仿宋" w:hAnsi="仿宋" w:eastAsia="仿宋"/>
          <w:color w:val="auto"/>
          <w:spacing w:val="-6"/>
          <w:szCs w:val="32"/>
          <w:lang w:val="zh-CN"/>
        </w:rPr>
        <w:t>《城关镇“三重一大”集体决策制度》</w:t>
      </w:r>
      <w:r>
        <w:rPr>
          <w:rFonts w:ascii="仿宋" w:hAnsi="仿宋" w:eastAsia="仿宋"/>
          <w:color w:val="auto"/>
          <w:spacing w:val="-6"/>
          <w:szCs w:val="32"/>
        </w:rPr>
        <w:t>，凡属重大问题决定、重要人事任免、重大项目安排、大额度资金使用事项均按依法实行集体民主决策，决策机制更加完善。针对日常工作、专项行动中发现的共性问题和漏洞，按照“废除过时的、修改僵化的、增补缺失的”原则，紧盯行政审批、工程项目、惠民资金等重要领域和关键环节，权力运行更加规范、廉洁、高效。</w:t>
      </w:r>
      <w:r>
        <w:rPr>
          <w:rFonts w:ascii="仿宋" w:hAnsi="仿宋" w:eastAsia="仿宋"/>
          <w:b/>
          <w:bCs/>
          <w:color w:val="333333"/>
          <w:szCs w:val="32"/>
          <w:shd w:val="clear" w:color="0A0000" w:fill="FFFFFF"/>
        </w:rPr>
        <w:t>三是作风建设不断提升。</w:t>
      </w:r>
      <w:r>
        <w:rPr>
          <w:rFonts w:ascii="仿宋" w:hAnsi="仿宋" w:eastAsia="仿宋"/>
          <w:color w:val="auto"/>
          <w:spacing w:val="-6"/>
          <w:szCs w:val="32"/>
        </w:rPr>
        <w:t>从改进工作作风、提高工作效能入手，不断完善考勤值班制度、请销假制度、财经管理等规章制度，坚持执行重点工作调度，有力开展效能督查。打响“红色合伙人”“红色业委会”“红色物业”等党建品牌，扎实开展学习贯彻习近平新时代中国特色社会主义思想主题教育，紧扣“学思想、强党性、重实践、建新功”总要求，全镇各基层党组织开展集中学习280次，检视整改问题76个，推动了习近平新时代中国特色社会主义思想在基层落地生根。</w:t>
      </w:r>
    </w:p>
    <w:p>
      <w:pPr>
        <w:pStyle w:val="31"/>
        <w:widowControl/>
        <w:spacing w:before="100" w:after="100" w:line="600" w:lineRule="atLeast"/>
        <w:jc w:val="left"/>
        <w:rPr>
          <w:rFonts w:ascii="仿宋" w:hAnsi="仿宋" w:eastAsia="仿宋" w:cs="仿宋"/>
          <w:kern w:val="0"/>
          <w:sz w:val="32"/>
          <w:szCs w:val="32"/>
        </w:rPr>
      </w:pPr>
    </w:p>
    <w:p>
      <w:pPr>
        <w:pStyle w:val="31"/>
        <w:widowControl/>
        <w:spacing w:before="100" w:after="100" w:line="600" w:lineRule="atLeast"/>
        <w:jc w:val="left"/>
        <w:rPr>
          <w:rFonts w:ascii="仿宋" w:hAnsi="仿宋" w:eastAsia="仿宋" w:cs="仿宋"/>
          <w:kern w:val="0"/>
          <w:sz w:val="32"/>
          <w:szCs w:val="32"/>
        </w:rPr>
      </w:pPr>
    </w:p>
    <w:p>
      <w:pPr>
        <w:pStyle w:val="31"/>
        <w:widowControl/>
        <w:spacing w:before="100" w:after="100" w:line="600" w:lineRule="atLeast"/>
        <w:jc w:val="left"/>
        <w:rPr>
          <w:rFonts w:ascii="仿宋" w:hAnsi="仿宋" w:eastAsia="仿宋" w:cs="仿宋"/>
          <w:kern w:val="0"/>
          <w:sz w:val="32"/>
          <w:szCs w:val="32"/>
        </w:rPr>
      </w:pPr>
    </w:p>
    <w:p>
      <w:pPr>
        <w:pStyle w:val="31"/>
        <w:widowControl/>
        <w:spacing w:before="100" w:after="100" w:line="600" w:lineRule="atLeast"/>
        <w:jc w:val="left"/>
        <w:rPr>
          <w:rFonts w:ascii="仿宋" w:hAnsi="仿宋" w:eastAsia="仿宋" w:cs="仿宋"/>
          <w:kern w:val="0"/>
          <w:sz w:val="32"/>
          <w:szCs w:val="32"/>
        </w:rPr>
      </w:pPr>
    </w:p>
    <w:p>
      <w:pPr>
        <w:pStyle w:val="31"/>
        <w:widowControl/>
        <w:spacing w:before="100" w:after="100" w:line="600" w:lineRule="atLeast"/>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left"/>
        <w:rPr>
          <w:rFonts w:ascii="黑体" w:hAnsi="黑体" w:eastAsia="黑体" w:cs="黑体"/>
          <w:kern w:val="0"/>
          <w:sz w:val="56"/>
          <w:szCs w:val="56"/>
        </w:rPr>
      </w:pPr>
    </w:p>
    <w:p>
      <w:pPr>
        <w:pStyle w:val="32"/>
        <w:widowControl/>
        <w:spacing w:before="100" w:after="100"/>
        <w:jc w:val="left"/>
        <w:rPr>
          <w:rFonts w:eastAsia="Times New Roman"/>
          <w:kern w:val="0"/>
          <w:sz w:val="24"/>
        </w:rPr>
      </w:pPr>
      <w:r>
        <w:rPr>
          <w:rFonts w:ascii="黑体" w:hAnsi="黑体" w:eastAsia="黑体" w:cs="黑体"/>
          <w:kern w:val="0"/>
          <w:sz w:val="56"/>
          <w:szCs w:val="56"/>
        </w:rPr>
        <w:t>第二部分</w:t>
      </w:r>
      <w:r>
        <w:rPr>
          <w:rFonts w:ascii="宋体" w:hAnsi="宋体" w:cs="宋体"/>
          <w:kern w:val="0"/>
          <w:sz w:val="56"/>
          <w:szCs w:val="56"/>
        </w:rPr>
        <w:t> </w:t>
      </w:r>
    </w:p>
    <w:p>
      <w:pPr>
        <w:pStyle w:val="32"/>
        <w:widowControl/>
        <w:spacing w:before="100" w:after="100"/>
        <w:jc w:val="center"/>
        <w:rPr>
          <w:rFonts w:eastAsia="Times New Roman"/>
          <w:kern w:val="0"/>
          <w:sz w:val="24"/>
        </w:rPr>
      </w:pPr>
      <w:r>
        <w:rPr>
          <w:rFonts w:ascii="黑体" w:hAnsi="黑体" w:eastAsia="黑体" w:cs="黑体"/>
          <w:kern w:val="0"/>
          <w:sz w:val="56"/>
          <w:szCs w:val="56"/>
        </w:rPr>
        <w:t>2023年度部门决算表</w:t>
      </w:r>
    </w:p>
    <w:p>
      <w:pPr>
        <w:pStyle w:val="31"/>
        <w:widowControl/>
        <w:spacing w:before="100" w:after="100"/>
        <w:jc w:val="left"/>
        <w:rPr>
          <w:rFonts w:eastAsia="Times New Roman"/>
          <w:kern w:val="0"/>
          <w:sz w:val="24"/>
        </w:rPr>
      </w:pPr>
      <w:r>
        <w:rPr>
          <w:rFonts w:ascii="宋体" w:hAnsi="宋体" w:cs="宋体"/>
          <w:kern w:val="0"/>
          <w:sz w:val="32"/>
          <w:szCs w:val="32"/>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一、收入支出决算总表</w:t>
      </w:r>
    </w:p>
    <w:tbl>
      <w:tblPr>
        <w:tblStyle w:val="20"/>
        <w:tblW w:w="5000" w:type="pct"/>
        <w:tblInd w:w="0" w:type="dxa"/>
        <w:tblLayout w:type="autofit"/>
        <w:tblCellMar>
          <w:top w:w="15" w:type="dxa"/>
          <w:left w:w="15" w:type="dxa"/>
          <w:bottom w:w="15" w:type="dxa"/>
          <w:right w:w="15" w:type="dxa"/>
        </w:tblCellMar>
      </w:tblPr>
      <w:tblGrid>
        <w:gridCol w:w="3495"/>
        <w:gridCol w:w="475"/>
        <w:gridCol w:w="799"/>
        <w:gridCol w:w="3653"/>
        <w:gridCol w:w="475"/>
        <w:gridCol w:w="887"/>
      </w:tblGrid>
      <w:tr>
        <w:tblPrEx>
          <w:tblCellMar>
            <w:top w:w="15" w:type="dxa"/>
            <w:left w:w="15" w:type="dxa"/>
            <w:bottom w:w="15" w:type="dxa"/>
            <w:right w:w="15" w:type="dxa"/>
          </w:tblCellMar>
        </w:tblPrEx>
        <w:trPr>
          <w:tblHeader/>
        </w:trPr>
        <w:tc>
          <w:tcPr>
            <w:tcW w:w="5000" w:type="pct"/>
            <w:gridSpan w:val="6"/>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收入支出决算总表</w:t>
            </w:r>
          </w:p>
        </w:tc>
      </w:tr>
      <w:tr>
        <w:tblPrEx>
          <w:tblCellMar>
            <w:top w:w="15" w:type="dxa"/>
            <w:left w:w="15" w:type="dxa"/>
            <w:bottom w:w="15" w:type="dxa"/>
            <w:right w:w="15" w:type="dxa"/>
          </w:tblCellMar>
        </w:tblPrEx>
        <w:trPr>
          <w:tblHeader/>
        </w:trPr>
        <w:tc>
          <w:tcPr>
            <w:tcW w:w="498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收入</w:t>
            </w:r>
          </w:p>
        </w:tc>
        <w:tc>
          <w:tcPr>
            <w:tcW w:w="2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支出</w:t>
            </w: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行次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行次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一、一般公共预算财政拨款收入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1,746.07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一、一般公共服务支出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452.56</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二、政府性基金预算财政拨款收入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 xml:space="preserve">二、外交支出 </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三、国有资本经营预算财政拨款收入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三、国防支出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四、上级补助收入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四、公共安全支出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五、事业收入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五、教育支出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六、经营收入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六、科学技术支出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七、附属单位上缴收入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七、文化旅游体育与传媒支出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八、其他收入</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1,112.99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八、社会保障和就业支出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九、卫生健康支出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十、节能环保支出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十一、城乡社区支出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1,893.19</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十二、农林水支出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1,193.75</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十三、交通运输支出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十四、资源勘探工业信息等支出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十五、商业服务业等支出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十六、金融支出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十七、援助其他地区支出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十八、自然资源海洋气象等支出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十九、住房保障支出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80.66</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二十、粮油物资储备支出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二十一、国有资本经营预算支出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二十二、灾害防治及应急管理支出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468</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二十三、其他支出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二十四、债务还本支出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二十五、债务付息支出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二十六、抗疫特别国债安排的支出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本年收入合计</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4,304.54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本年支出合计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4,304.54</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使用非财政拨款结余（含专用结余）</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结余分配</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 xml:space="preserve">年初结转和结余 </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 xml:space="preserve">年末结转和结余 </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总计</w:t>
            </w:r>
          </w:p>
        </w:tc>
        <w:tc>
          <w:tcPr>
            <w:tcW w:w="156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4,304.54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总计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4,304.54</w:t>
            </w: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eastAsia="Times New Roman"/>
          <w:kern w:val="0"/>
          <w:sz w:val="24"/>
        </w:rPr>
      </w:pPr>
      <w:r>
        <w:rPr>
          <w:rFonts w:ascii="宋体" w:hAnsi="宋体" w:cs="宋体"/>
          <w:kern w:val="0"/>
          <w:sz w:val="32"/>
          <w:szCs w:val="32"/>
        </w:rPr>
        <w:t>注：</w:t>
      </w:r>
      <w:r>
        <w:rPr>
          <w:rFonts w:eastAsia="Times New Roman"/>
          <w:kern w:val="0"/>
          <w:sz w:val="32"/>
          <w:szCs w:val="32"/>
        </w:rPr>
        <w:t>1. </w:t>
      </w:r>
      <w:r>
        <w:rPr>
          <w:rFonts w:ascii="宋体" w:hAnsi="宋体" w:cs="宋体"/>
          <w:kern w:val="0"/>
          <w:sz w:val="32"/>
          <w:szCs w:val="32"/>
        </w:rPr>
        <w:t>本表反映部门本年度的总收支和年末结转结余情况。</w:t>
      </w:r>
    </w:p>
    <w:p>
      <w:pPr>
        <w:pStyle w:val="32"/>
        <w:widowControl/>
        <w:spacing w:before="100" w:after="100"/>
        <w:ind w:firstLine="480"/>
        <w:jc w:val="left"/>
        <w:rPr>
          <w:rFonts w:ascii="宋体" w:hAnsi="宋体" w:cs="宋体"/>
          <w:kern w:val="0"/>
          <w:sz w:val="32"/>
          <w:szCs w:val="32"/>
        </w:rPr>
      </w:pPr>
      <w:r>
        <w:rPr>
          <w:rFonts w:eastAsia="Times New Roman"/>
          <w:kern w:val="0"/>
          <w:sz w:val="32"/>
          <w:szCs w:val="32"/>
        </w:rPr>
        <w:t>2.</w:t>
      </w:r>
      <w:r>
        <w:rPr>
          <w:rFonts w:ascii="Calibri" w:hAnsi="Calibri" w:eastAsia="Calibri" w:cs="Calibri"/>
          <w:kern w:val="0"/>
          <w:sz w:val="32"/>
          <w:szCs w:val="32"/>
        </w:rPr>
        <w:t> </w:t>
      </w:r>
      <w:r>
        <w:rPr>
          <w:rFonts w:ascii="宋体" w:hAnsi="宋体" w:cs="宋体"/>
          <w:kern w:val="0"/>
          <w:sz w:val="32"/>
          <w:szCs w:val="32"/>
        </w:rPr>
        <w:t>本套报表金额单位转换时可能存在尾数误差。</w:t>
      </w:r>
    </w:p>
    <w:p>
      <w:pPr>
        <w:pStyle w:val="32"/>
        <w:widowControl/>
        <w:spacing w:before="100" w:after="100"/>
        <w:ind w:firstLine="480"/>
        <w:jc w:val="left"/>
        <w:rPr>
          <w:rFonts w:ascii="宋体" w:hAnsi="宋体" w:cs="宋体"/>
          <w:kern w:val="0"/>
          <w:sz w:val="32"/>
          <w:szCs w:val="32"/>
        </w:rPr>
      </w:pPr>
    </w:p>
    <w:p>
      <w:pPr>
        <w:pStyle w:val="32"/>
        <w:widowControl/>
        <w:spacing w:before="100" w:after="100"/>
        <w:ind w:firstLine="480"/>
        <w:jc w:val="left"/>
        <w:rPr>
          <w:rFonts w:ascii="宋体" w:hAnsi="宋体" w:cs="宋体"/>
          <w:kern w:val="0"/>
          <w:sz w:val="32"/>
          <w:szCs w:val="32"/>
        </w:rPr>
      </w:pPr>
    </w:p>
    <w:p>
      <w:pPr>
        <w:pStyle w:val="32"/>
        <w:widowControl/>
        <w:spacing w:before="100" w:after="100"/>
        <w:ind w:firstLine="480"/>
        <w:jc w:val="left"/>
        <w:rPr>
          <w:rFonts w:ascii="宋体" w:hAnsi="宋体" w:cs="宋体"/>
          <w:kern w:val="0"/>
          <w:sz w:val="32"/>
          <w:szCs w:val="32"/>
        </w:rPr>
      </w:pPr>
    </w:p>
    <w:p>
      <w:pPr>
        <w:pStyle w:val="32"/>
        <w:widowControl/>
        <w:spacing w:before="100" w:after="100"/>
        <w:ind w:firstLine="480"/>
        <w:jc w:val="left"/>
        <w:rPr>
          <w:rFonts w:ascii="宋体" w:hAnsi="宋体" w:cs="宋体"/>
          <w:kern w:val="0"/>
          <w:sz w:val="32"/>
          <w:szCs w:val="32"/>
        </w:rPr>
      </w:pPr>
    </w:p>
    <w:p>
      <w:pPr>
        <w:pStyle w:val="32"/>
        <w:widowControl/>
        <w:spacing w:before="100" w:after="100"/>
        <w:ind w:firstLine="480"/>
        <w:jc w:val="left"/>
        <w:rPr>
          <w:rFonts w:ascii="宋体" w:hAnsi="宋体" w:cs="宋体"/>
          <w:kern w:val="0"/>
          <w:sz w:val="32"/>
          <w:szCs w:val="32"/>
        </w:rPr>
      </w:pPr>
    </w:p>
    <w:p>
      <w:pPr>
        <w:pStyle w:val="32"/>
        <w:widowControl/>
        <w:spacing w:before="100" w:after="100"/>
        <w:ind w:firstLine="480"/>
        <w:jc w:val="left"/>
        <w:rPr>
          <w:rFonts w:ascii="宋体" w:hAnsi="宋体" w:cs="宋体"/>
          <w:kern w:val="0"/>
          <w:sz w:val="32"/>
          <w:szCs w:val="32"/>
        </w:rPr>
      </w:pPr>
    </w:p>
    <w:p>
      <w:pPr>
        <w:pStyle w:val="32"/>
        <w:widowControl/>
        <w:spacing w:before="100" w:after="100"/>
        <w:ind w:firstLine="480"/>
        <w:jc w:val="left"/>
        <w:rPr>
          <w:rFonts w:eastAsia="Times New Roman"/>
          <w:kern w:val="0"/>
          <w:sz w:val="24"/>
        </w:rPr>
      </w:pP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二、收入决算表</w:t>
      </w:r>
    </w:p>
    <w:tbl>
      <w:tblPr>
        <w:tblStyle w:val="20"/>
        <w:tblW w:w="5000" w:type="pct"/>
        <w:tblInd w:w="0" w:type="dxa"/>
        <w:tblLayout w:type="autofit"/>
        <w:tblCellMar>
          <w:top w:w="15" w:type="dxa"/>
          <w:left w:w="15" w:type="dxa"/>
          <w:bottom w:w="15" w:type="dxa"/>
          <w:right w:w="15" w:type="dxa"/>
        </w:tblCellMar>
      </w:tblPr>
      <w:tblGrid>
        <w:gridCol w:w="660"/>
        <w:gridCol w:w="2968"/>
        <w:gridCol w:w="967"/>
        <w:gridCol w:w="967"/>
        <w:gridCol w:w="967"/>
        <w:gridCol w:w="660"/>
        <w:gridCol w:w="660"/>
        <w:gridCol w:w="1275"/>
        <w:gridCol w:w="660"/>
      </w:tblGrid>
      <w:tr>
        <w:tblPrEx>
          <w:tblCellMar>
            <w:top w:w="15" w:type="dxa"/>
            <w:left w:w="15" w:type="dxa"/>
            <w:bottom w:w="15" w:type="dxa"/>
            <w:right w:w="15" w:type="dxa"/>
          </w:tblCellMar>
        </w:tblPrEx>
        <w:trPr>
          <w:tblHeader/>
        </w:trPr>
        <w:tc>
          <w:tcPr>
            <w:tcW w:w="5000" w:type="pct"/>
            <w:gridSpan w:val="9"/>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收入决算表</w:t>
            </w:r>
          </w:p>
        </w:tc>
      </w:tr>
      <w:tr>
        <w:tblPrEx>
          <w:tblCellMar>
            <w:top w:w="15" w:type="dxa"/>
            <w:left w:w="15" w:type="dxa"/>
            <w:bottom w:w="15" w:type="dxa"/>
            <w:right w:w="15" w:type="dxa"/>
          </w:tblCellMar>
        </w:tblPrEx>
        <w:trPr>
          <w:tblHeader/>
        </w:trPr>
        <w:tc>
          <w:tcPr>
            <w:tcW w:w="4954"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本年收入合计</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财政拨款收入 </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上级补助收入</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事业收入</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经营收入</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附属单位上缴收入</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其他收入</w:t>
            </w:r>
          </w:p>
        </w:tc>
      </w:tr>
      <w:tr>
        <w:tblPrEx>
          <w:tblCellMar>
            <w:top w:w="15" w:type="dxa"/>
            <w:left w:w="15" w:type="dxa"/>
            <w:bottom w:w="15" w:type="dxa"/>
            <w:right w:w="15" w:type="dxa"/>
          </w:tblCellMar>
        </w:tblPrEx>
        <w:trPr>
          <w:trHeight w:val="624" w:hRule="atLeast"/>
          <w:tblHeader/>
        </w:trPr>
        <w:tc>
          <w:tcPr>
            <w:tcW w:w="341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科目代码</w:t>
            </w:r>
          </w:p>
        </w:tc>
        <w:tc>
          <w:tcPr>
            <w:tcW w:w="1544"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rPr>
          <w:trHeight w:val="624" w:hRule="atLeast"/>
        </w:trPr>
        <w:tc>
          <w:tcPr>
            <w:tcW w:w="341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1544"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c>
          <w:tcPr>
            <w:tcW w:w="4954"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7</w:t>
            </w:r>
          </w:p>
        </w:tc>
      </w:tr>
      <w:tr>
        <w:tblPrEx>
          <w:tblCellMar>
            <w:top w:w="15" w:type="dxa"/>
            <w:left w:w="15" w:type="dxa"/>
            <w:bottom w:w="15" w:type="dxa"/>
            <w:right w:w="15" w:type="dxa"/>
          </w:tblCellMar>
        </w:tblPrEx>
        <w:tc>
          <w:tcPr>
            <w:tcW w:w="4954"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4,304.54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3,191.55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1,112.99</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一般公共服务支出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452.56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244.49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208.07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20103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政府办公厅（室）及相关机构事务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208.07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2010301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行政运行</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208.07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20131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党委办公厅（室）及相关机构事务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2013199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其他党委办公厅（室）及相关机构事务支出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205</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教育支出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20501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教育管理事务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2050199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其他教育管理事务支出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20802</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民政管理事务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2080208</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基层政权建设和社区治理</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行政事业单位养老支出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行政单位离退休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27.74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27.74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2080505</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20808</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抚恤</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2080801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死亡抚恤</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20827</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财政对其他社会保险基金的补助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2082799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其他财政对社会保险基金的补助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2089999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卫生健康支出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21011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行政事业单位医疗</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2101101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行政单位医疗</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1,893.19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1,666.44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226.75</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城乡社区公共设施</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2120399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其他城乡社区公共设施支出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21205</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125.14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116.86</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2120501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125.14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116.86</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国有土地使用权出让收入安排的支出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征地和拆迁补偿支出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2120814</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农业生产发展支出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2129999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农林水支出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1,193.75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542.35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651.4</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农业农村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1,111.73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508.33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603.4</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2130104</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事业运行</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1,028.25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424.85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603.4</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其他农业农村支出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21307</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农村综合改革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48</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2130705</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对村民委员会和村党支部的补助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48</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住房保障支出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22102</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住房改革支出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2210201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灾害防治及应急管理支出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22406</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自然灾害防治</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2240601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地质灾害防治</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ascii="宋体" w:hAnsi="宋体" w:cs="宋体"/>
          <w:kern w:val="0"/>
          <w:sz w:val="32"/>
          <w:szCs w:val="32"/>
        </w:rPr>
      </w:pPr>
      <w:r>
        <w:rPr>
          <w:rFonts w:ascii="宋体" w:hAnsi="宋体" w:cs="宋体"/>
          <w:kern w:val="0"/>
          <w:sz w:val="32"/>
          <w:szCs w:val="32"/>
        </w:rPr>
        <w:t>注：本表反映部门本年度取得的各项收入情况。</w:t>
      </w: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eastAsia="Times New Roman"/>
          <w:kern w:val="0"/>
          <w:sz w:val="24"/>
        </w:rPr>
      </w:pP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三、支出决算表</w:t>
      </w:r>
    </w:p>
    <w:tbl>
      <w:tblPr>
        <w:tblStyle w:val="20"/>
        <w:tblW w:w="5000" w:type="pct"/>
        <w:tblInd w:w="0" w:type="dxa"/>
        <w:tblLayout w:type="autofit"/>
        <w:tblCellMar>
          <w:top w:w="15" w:type="dxa"/>
          <w:left w:w="15" w:type="dxa"/>
          <w:bottom w:w="15" w:type="dxa"/>
          <w:right w:w="15" w:type="dxa"/>
        </w:tblCellMar>
      </w:tblPr>
      <w:tblGrid>
        <w:gridCol w:w="717"/>
        <w:gridCol w:w="3243"/>
        <w:gridCol w:w="1055"/>
        <w:gridCol w:w="718"/>
        <w:gridCol w:w="718"/>
        <w:gridCol w:w="1055"/>
        <w:gridCol w:w="718"/>
        <w:gridCol w:w="1560"/>
      </w:tblGrid>
      <w:tr>
        <w:tblPrEx>
          <w:tblCellMar>
            <w:top w:w="15" w:type="dxa"/>
            <w:left w:w="15" w:type="dxa"/>
            <w:bottom w:w="15" w:type="dxa"/>
            <w:right w:w="15" w:type="dxa"/>
          </w:tblCellMar>
        </w:tblPrEx>
        <w:trPr>
          <w:tblHeader/>
        </w:trPr>
        <w:tc>
          <w:tcPr>
            <w:tcW w:w="5000" w:type="pct"/>
            <w:gridSpan w:val="8"/>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支出决算表</w:t>
            </w:r>
          </w:p>
        </w:tc>
      </w:tr>
      <w:tr>
        <w:tblPrEx>
          <w:tblCellMar>
            <w:top w:w="15" w:type="dxa"/>
            <w:left w:w="15" w:type="dxa"/>
            <w:bottom w:w="15" w:type="dxa"/>
            <w:right w:w="15" w:type="dxa"/>
          </w:tblCellMar>
        </w:tblPrEx>
        <w:trPr>
          <w:tblHeader/>
        </w:trPr>
        <w:tc>
          <w:tcPr>
            <w:tcW w:w="496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本年支出合计</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基本支出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上缴上级支出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经营支出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对附属单位补助支出</w:t>
            </w:r>
          </w:p>
        </w:tc>
      </w:tr>
      <w:tr>
        <w:tblPrEx>
          <w:tblCellMar>
            <w:top w:w="15" w:type="dxa"/>
            <w:left w:w="15" w:type="dxa"/>
            <w:bottom w:w="15" w:type="dxa"/>
            <w:right w:w="15" w:type="dxa"/>
          </w:tblCellMar>
        </w:tblPrEx>
        <w:trPr>
          <w:trHeight w:val="624" w:hRule="atLeast"/>
          <w:tblHeader/>
        </w:trPr>
        <w:tc>
          <w:tcPr>
            <w:tcW w:w="341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科目代码</w:t>
            </w:r>
          </w:p>
        </w:tc>
        <w:tc>
          <w:tcPr>
            <w:tcW w:w="155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rPr>
          <w:trHeight w:val="624" w:hRule="atLeast"/>
        </w:trPr>
        <w:tc>
          <w:tcPr>
            <w:tcW w:w="341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155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c>
          <w:tcPr>
            <w:tcW w:w="496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栏次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6</w:t>
            </w:r>
          </w:p>
        </w:tc>
      </w:tr>
      <w:tr>
        <w:tblPrEx>
          <w:tblCellMar>
            <w:top w:w="15" w:type="dxa"/>
            <w:left w:w="15" w:type="dxa"/>
            <w:bottom w:w="15" w:type="dxa"/>
            <w:right w:w="15" w:type="dxa"/>
          </w:tblCellMar>
        </w:tblPrEx>
        <w:tc>
          <w:tcPr>
            <w:tcW w:w="496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4,304.54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2,028.17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2,276.37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一般公共服务支出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452.56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20103</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政府办公厅（室）及相关机构事务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2010301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行政运行</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446.13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20131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党委办公厅（室）及相关机构事务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2013199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其他党委办公厅（室）及相关机构事务支出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205</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教育支出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20501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教育管理事务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2050199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其他教育管理事务支出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26.77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132.65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20802</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民政管理事务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2080208</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基层政权建设和社区治理</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行政事业单位养老支出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行政单位离退休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27.74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27.74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2080505</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20808</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抚恤</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2080801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死亡抚恤</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20827</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财政对其他社会保险基金的补助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2082799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其他财政对社会保险基金的补助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2089999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卫生健康支出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21011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行政事业单位医疗</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2101101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行政单位医疗</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1,893.19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226.75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1,666.44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21203</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城乡社区公共设施</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2120399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其他城乡社区公共设施支出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109.89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21205</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125.14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116.86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2120501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125.14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116.86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国有土地使用权出让收入安排的支出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征地和拆迁补偿支出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2120814</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农业生产发展支出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2129999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农林水支出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1,193.75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1,076.25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117.5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农业农村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1,111.73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1,028.25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2130104</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事业运行</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1,028.25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1,028.25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2130199</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其他农业农村支出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21307</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农村综合改革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2130705</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对村民委员会和村党支部的补助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住房保障支出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22102</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住房改革支出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2210201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灾害防治及应急管理支出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22406</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自然灾害防治</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2240601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地质灾害防治</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eastAsia="Times New Roman"/>
          <w:kern w:val="0"/>
          <w:sz w:val="24"/>
        </w:rPr>
      </w:pPr>
      <w:r>
        <w:rPr>
          <w:rFonts w:ascii="宋体" w:hAnsi="宋体" w:cs="宋体"/>
          <w:kern w:val="0"/>
          <w:sz w:val="32"/>
          <w:szCs w:val="32"/>
        </w:rPr>
        <w:t>注：本表反映部门本年度各项支出情况。</w:t>
      </w: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四、财政拨款收入支出决算总表</w:t>
      </w:r>
    </w:p>
    <w:tbl>
      <w:tblPr>
        <w:tblStyle w:val="20"/>
        <w:tblW w:w="5000" w:type="pct"/>
        <w:tblInd w:w="0" w:type="dxa"/>
        <w:tblLayout w:type="autofit"/>
        <w:tblCellMar>
          <w:top w:w="15" w:type="dxa"/>
          <w:left w:w="15" w:type="dxa"/>
          <w:bottom w:w="15" w:type="dxa"/>
          <w:right w:w="15" w:type="dxa"/>
        </w:tblCellMar>
      </w:tblPr>
      <w:tblGrid>
        <w:gridCol w:w="1920"/>
        <w:gridCol w:w="284"/>
        <w:gridCol w:w="465"/>
        <w:gridCol w:w="2054"/>
        <w:gridCol w:w="284"/>
        <w:gridCol w:w="513"/>
        <w:gridCol w:w="1246"/>
        <w:gridCol w:w="1366"/>
        <w:gridCol w:w="1652"/>
      </w:tblGrid>
      <w:tr>
        <w:tblPrEx>
          <w:tblCellMar>
            <w:top w:w="15" w:type="dxa"/>
            <w:left w:w="15" w:type="dxa"/>
            <w:bottom w:w="15" w:type="dxa"/>
            <w:right w:w="15" w:type="dxa"/>
          </w:tblCellMar>
        </w:tblPrEx>
        <w:trPr>
          <w:tblHeader/>
        </w:trPr>
        <w:tc>
          <w:tcPr>
            <w:tcW w:w="5000" w:type="pct"/>
            <w:gridSpan w:val="9"/>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财政拨款收入支出决算总表</w:t>
            </w:r>
          </w:p>
        </w:tc>
      </w:tr>
      <w:tr>
        <w:tblPrEx>
          <w:tblCellMar>
            <w:top w:w="15" w:type="dxa"/>
            <w:left w:w="15" w:type="dxa"/>
            <w:bottom w:w="15" w:type="dxa"/>
            <w:right w:w="15" w:type="dxa"/>
          </w:tblCellMar>
        </w:tblPrEx>
        <w:trPr>
          <w:tblHeader/>
        </w:trPr>
        <w:tc>
          <w:tcPr>
            <w:tcW w:w="496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收入</w:t>
            </w:r>
          </w:p>
        </w:tc>
        <w:tc>
          <w:tcPr>
            <w:tcW w:w="40" w:type="pct"/>
            <w:gridSpan w:val="6"/>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支出</w:t>
            </w: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项目 </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行次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金额</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行次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一般公共预算财政拨款</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政府性基金预算财政拨款</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国有资本经营预算财政拨款</w:t>
            </w: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w:t>
            </w: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 xml:space="preserve">一、一般公共预算财政拨款 </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1,746.07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一、一般公共服务支出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244.49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244.49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二、政府性基金预算财政拨款</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二、外交支出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三、国有资本经营预算财政拨款</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三、国防支出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四、公共安全支出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五、教育支出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六、科学技术支出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七、文化旅游体育与传媒支出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八、社会保障和就业支出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九、卫生健康支出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十、节能环保支出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十一、城乡社区支出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1,666.44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220.96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十二、农林水支出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542.35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542.35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十三、交通运输支出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十四、资源勘探工业信息等支出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十五、商业服务业等支出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十六、金融支出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十七、援助其他地区支出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49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十八、自然资源海洋气象等支出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十九、住房保障支出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二十、粮油物资储备支出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二十一、国有资本经营预算支出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二十二、灾害防治及应急管理支出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r>
              <w:rPr>
                <w:rFonts w:ascii="宋体" w:hAnsi="宋体" w:cs="宋体"/>
                <w:color w:val="000000"/>
                <w:kern w:val="0"/>
                <w:sz w:val="29"/>
                <w:szCs w:val="29"/>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二十三、其他支出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二十四、债务还本支出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二十五、债务付息支出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二十六、抗疫特别国债安排的支出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58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本年收入合计</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3,191.55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本年支出合计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3,191.55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1,746.07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 xml:space="preserve">年初财政拨款结转和结余 </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 xml:space="preserve">年末财政拨款结转和结余 </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一、一般公共预算财政拨款</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二、政府性基金预算财政拨款</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三、国有资本经营预算财政拨款</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31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63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r>
      <w:t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总计 </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3,191.55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总计 </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3,191.55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1,746.07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ascii="宋体" w:hAnsi="宋体" w:cs="宋体"/>
          <w:kern w:val="0"/>
          <w:sz w:val="32"/>
          <w:szCs w:val="32"/>
        </w:rPr>
      </w:pPr>
      <w:r>
        <w:rPr>
          <w:rFonts w:ascii="宋体" w:hAnsi="宋体" w:cs="宋体"/>
          <w:kern w:val="0"/>
          <w:sz w:val="32"/>
          <w:szCs w:val="32"/>
        </w:rPr>
        <w:t>注：本表反映部门本年度一般公共预算财政拨款、政府性基金预算财政拨款和国有资本经营预算财政拨款的总收支和年末结转结余情况。</w:t>
      </w: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eastAsia="Times New Roman"/>
          <w:kern w:val="0"/>
          <w:sz w:val="24"/>
        </w:rPr>
      </w:pP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五、一般公共预算财政拨款支出决算表</w:t>
      </w:r>
    </w:p>
    <w:tbl>
      <w:tblPr>
        <w:tblStyle w:val="20"/>
        <w:tblW w:w="5000" w:type="pct"/>
        <w:tblInd w:w="0" w:type="dxa"/>
        <w:tblLayout w:type="autofit"/>
        <w:tblCellMar>
          <w:top w:w="15" w:type="dxa"/>
          <w:left w:w="15" w:type="dxa"/>
          <w:bottom w:w="15" w:type="dxa"/>
          <w:right w:w="15" w:type="dxa"/>
        </w:tblCellMar>
      </w:tblPr>
      <w:tblGrid>
        <w:gridCol w:w="1678"/>
        <w:gridCol w:w="4984"/>
        <w:gridCol w:w="954"/>
        <w:gridCol w:w="1084"/>
        <w:gridCol w:w="1084"/>
      </w:tblGrid>
      <w:tr>
        <w:tblPrEx>
          <w:tblCellMar>
            <w:top w:w="15" w:type="dxa"/>
            <w:left w:w="15" w:type="dxa"/>
            <w:bottom w:w="15" w:type="dxa"/>
            <w:right w:w="15" w:type="dxa"/>
          </w:tblCellMar>
        </w:tblPrEx>
        <w:trPr>
          <w:tblHeader/>
        </w:trPr>
        <w:tc>
          <w:tcPr>
            <w:tcW w:w="5000" w:type="pct"/>
            <w:gridSpan w:val="5"/>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一般公共预算财政拨款支出决算表</w:t>
            </w:r>
          </w:p>
        </w:tc>
      </w:tr>
      <w:tr>
        <w:tblPrEx>
          <w:tblCellMar>
            <w:top w:w="15" w:type="dxa"/>
            <w:left w:w="15" w:type="dxa"/>
            <w:bottom w:w="15" w:type="dxa"/>
            <w:right w:w="15" w:type="dxa"/>
          </w:tblCellMar>
        </w:tblPrEx>
        <w:trPr>
          <w:tblHeader/>
        </w:trPr>
        <w:tc>
          <w:tcPr>
            <w:tcW w:w="498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2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本年支出</w:t>
            </w:r>
          </w:p>
        </w:tc>
      </w:tr>
      <w:tr>
        <w:tblPrEx>
          <w:tblCellMar>
            <w:top w:w="15" w:type="dxa"/>
            <w:left w:w="15" w:type="dxa"/>
            <w:bottom w:w="15" w:type="dxa"/>
            <w:right w:w="15" w:type="dxa"/>
          </w:tblCellMar>
        </w:tblPrEx>
        <w:trPr>
          <w:trHeight w:val="624" w:hRule="atLeast"/>
          <w:tblHeader/>
        </w:trPr>
        <w:tc>
          <w:tcPr>
            <w:tcW w:w="2908"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科目代码</w:t>
            </w:r>
          </w:p>
        </w:tc>
        <w:tc>
          <w:tcPr>
            <w:tcW w:w="2072"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小计</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基本支出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r>
      <w:tr>
        <w:tblPrEx>
          <w:tblCellMar>
            <w:top w:w="15" w:type="dxa"/>
            <w:left w:w="15" w:type="dxa"/>
            <w:bottom w:w="15" w:type="dxa"/>
            <w:right w:w="15" w:type="dxa"/>
          </w:tblCellMar>
        </w:tblPrEx>
        <w:trPr>
          <w:trHeight w:val="624" w:hRule="atLeast"/>
        </w:trPr>
        <w:tc>
          <w:tcPr>
            <w:tcW w:w="2908"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2072"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2072"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w:t>
            </w:r>
          </w:p>
        </w:tc>
      </w:tr>
      <w:tr>
        <w:tblPrEx>
          <w:tblCellMar>
            <w:top w:w="15" w:type="dxa"/>
            <w:left w:w="15" w:type="dxa"/>
            <w:bottom w:w="15" w:type="dxa"/>
            <w:right w:w="15" w:type="dxa"/>
          </w:tblCellMar>
        </w:tblPrEx>
        <w:tc>
          <w:tcPr>
            <w:tcW w:w="498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1,746.07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915.18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830.89</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一般公共服务支出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244.49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20103</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政府办公厅（室）及相关机构事务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2010301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行政运行</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238.06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20131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党委办公厅（室）及相关机构事务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2013199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其他党委办公厅（室）及相关机构事务支出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6.43</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150.65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132.65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20802</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民政管理事务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2080208</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基层政权建设和社区治理</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行政事业单位养老支出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86.13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行政单位离退休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27.74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27.74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2080505</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20808</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抚恤</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2080801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死亡抚恤</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20827</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财政对其他社会保险基金的补助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2082799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其他财政对社会保险基金的补助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2089999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其他社会保障和就业支出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2.59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卫生健康支出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21011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行政事业单位医疗</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2101101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行政单位医疗</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220.96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220.96</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21205</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2120501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城乡社区环境卫生</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8.28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2129999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212.68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农林水支出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542.35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424.85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117.5</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农业农村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508.33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424.85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2130104</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事业运行</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424.85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424.85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2130199</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其他农业农村支出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83.48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21307</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农村综合改革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2130705</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对村民委员会和村党支部的补助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34.02</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住房保障支出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22102</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住房改革支出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2210201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灾害防治及应急管理支出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22406</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自然灾害防治</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r>
      <w:tr>
        <w:tblPrEx>
          <w:tblCellMar>
            <w:top w:w="15" w:type="dxa"/>
            <w:left w:w="15" w:type="dxa"/>
            <w:bottom w:w="15" w:type="dxa"/>
            <w:right w:w="15" w:type="dxa"/>
          </w:tblCellMar>
        </w:tblPrEx>
        <w:tc>
          <w:tcPr>
            <w:tcW w:w="2908"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2240601</w:t>
            </w:r>
          </w:p>
        </w:tc>
        <w:tc>
          <w:tcPr>
            <w:tcW w:w="20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地质灾害防治</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468</w:t>
            </w: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ascii="宋体" w:hAnsi="宋体" w:cs="宋体"/>
          <w:kern w:val="0"/>
          <w:sz w:val="32"/>
          <w:szCs w:val="32"/>
        </w:rPr>
      </w:pPr>
      <w:r>
        <w:rPr>
          <w:rFonts w:ascii="宋体" w:hAnsi="宋体" w:cs="宋体"/>
          <w:kern w:val="0"/>
          <w:sz w:val="32"/>
          <w:szCs w:val="32"/>
        </w:rPr>
        <w:t>注：本表反映部门本年度一般公共预算财政拨款支出情况。</w:t>
      </w: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eastAsia="Times New Roman"/>
          <w:kern w:val="0"/>
          <w:sz w:val="24"/>
        </w:rPr>
      </w:pP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六、一般公共预算财政拨款基本支出决算表</w:t>
      </w:r>
    </w:p>
    <w:tbl>
      <w:tblPr>
        <w:tblStyle w:val="20"/>
        <w:tblW w:w="5000" w:type="pct"/>
        <w:tblInd w:w="0" w:type="dxa"/>
        <w:tblLayout w:type="autofit"/>
        <w:tblCellMar>
          <w:top w:w="15" w:type="dxa"/>
          <w:left w:w="15" w:type="dxa"/>
          <w:bottom w:w="15" w:type="dxa"/>
          <w:right w:w="15" w:type="dxa"/>
        </w:tblCellMar>
      </w:tblPr>
      <w:tblGrid>
        <w:gridCol w:w="622"/>
        <w:gridCol w:w="2070"/>
        <w:gridCol w:w="478"/>
        <w:gridCol w:w="623"/>
        <w:gridCol w:w="1346"/>
        <w:gridCol w:w="478"/>
        <w:gridCol w:w="690"/>
        <w:gridCol w:w="2949"/>
        <w:gridCol w:w="528"/>
      </w:tblGrid>
      <w:tr>
        <w:tblPrEx>
          <w:tblCellMar>
            <w:top w:w="15" w:type="dxa"/>
            <w:left w:w="15" w:type="dxa"/>
            <w:bottom w:w="15" w:type="dxa"/>
            <w:right w:w="15" w:type="dxa"/>
          </w:tblCellMar>
        </w:tblPrEx>
        <w:trPr>
          <w:tblHeader/>
        </w:trPr>
        <w:tc>
          <w:tcPr>
            <w:tcW w:w="5000" w:type="pct"/>
            <w:gridSpan w:val="9"/>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一般公共预算财政拨款基本支出决算表</w:t>
            </w:r>
          </w:p>
        </w:tc>
      </w:tr>
      <w:tr>
        <w:tblPrEx>
          <w:tblCellMar>
            <w:top w:w="15" w:type="dxa"/>
            <w:left w:w="15" w:type="dxa"/>
            <w:bottom w:w="15" w:type="dxa"/>
            <w:right w:w="15" w:type="dxa"/>
          </w:tblCellMar>
        </w:tblPrEx>
        <w:trPr>
          <w:trHeight w:val="624" w:hRule="atLeast"/>
          <w:tblHeader/>
        </w:trPr>
        <w:tc>
          <w:tcPr>
            <w:tcW w:w="341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科目代码</w:t>
            </w:r>
          </w:p>
        </w:tc>
        <w:tc>
          <w:tcPr>
            <w:tcW w:w="1544"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决算数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科目代码</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决算数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科目代码</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科目名称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决算数</w:t>
            </w:r>
          </w:p>
        </w:tc>
      </w:tr>
      <w:tr>
        <w:tblPrEx>
          <w:tblCellMar>
            <w:top w:w="15" w:type="dxa"/>
            <w:left w:w="15" w:type="dxa"/>
            <w:bottom w:w="15" w:type="dxa"/>
            <w:right w:w="15" w:type="dxa"/>
          </w:tblCellMar>
        </w:tblPrEx>
        <w:trPr>
          <w:trHeight w:val="624" w:hRule="atLeast"/>
          <w:tblHeader/>
        </w:trPr>
        <w:tc>
          <w:tcPr>
            <w:tcW w:w="341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1544"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工资福利支出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819.78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商品和服务支出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19.46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债务利息及费用支出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基本工资</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335.58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办公费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4.03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30701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国内债务付息</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30102</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津贴补贴</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98.81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印刷费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30702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国外债务付息</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奖金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7.78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咨询费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资本性支出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30106</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伙食补助费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手续费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房屋建筑物购建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30107</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绩效工资</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水费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办公设备购置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30108</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机关事业单位基本养老保险缴费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58.39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电费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专用设备购置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30109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职业年金缴费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邮电费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基础设施建设</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30110</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职工基本医疗保险缴费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38.97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取暖费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大型修缮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30111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公务员医疗补助缴费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30209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物业管理费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信息网络及软件购置更新</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30112</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其他社会保障缴费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30211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差旅费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4.62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物资储备</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30113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住房公积金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80.66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30212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因公出国（境）费用</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31009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土地补偿</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30114</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医疗费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维修（护）费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31010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安置补助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30199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其他工资福利支出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195.3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30214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租赁费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31011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地上附着物和青苗补偿</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对个人和家庭的补助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75.95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30215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会议费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31012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拆迁补偿</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30301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离休费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30216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培训费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31013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公务用车购置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30302</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退休费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30217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公务接待费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4.38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31019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其他交通工具购置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30303</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退职（役）费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30218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专用材料费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31021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文物和陈列品购置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30304</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抚恤金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42.23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30224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被装购置费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31022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无形资产购置</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30305</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生活补助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33.72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30225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专用燃料费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31099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其他资本性支出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30306</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救济费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30226</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劳务费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399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其他支出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30307</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医疗费补助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30227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委托业务费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39907</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国家赔偿费用支出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30308</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助学金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30228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工会经费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39908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对民间非营利组织和群众性自治组织补贴</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30309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奖励金</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30229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福利费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39909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经常性赠与</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30310</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个人农业生产补贴</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30231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公务用车运行维护费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5.2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39910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资本性赠与</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30311</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代缴社会保险费</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30239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其他交通费用</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39999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r>
              <w:rPr>
                <w:rFonts w:ascii="宋体" w:hAnsi="宋体" w:cs="宋体"/>
                <w:color w:val="000000"/>
                <w:kern w:val="0"/>
                <w:sz w:val="29"/>
                <w:szCs w:val="29"/>
              </w:rPr>
              <w:t>其他支出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30399</w:t>
            </w: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其他对个人和家庭的补助</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30240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税金及附加费用</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r>
      <w:tr>
        <w:tblPrEx>
          <w:tblCellMar>
            <w:top w:w="15" w:type="dxa"/>
            <w:left w:w="15" w:type="dxa"/>
            <w:bottom w:w="15" w:type="dxa"/>
            <w:right w:w="15" w:type="dxa"/>
          </w:tblCellMar>
        </w:tblPrEx>
        <w:trPr>
          <w:tblHeader/>
        </w:trPr>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1544"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30299</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其他商品和服务支出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9"/>
                <w:szCs w:val="29"/>
              </w:rPr>
            </w:pPr>
          </w:p>
        </w:tc>
      </w:tr>
      <w:tr>
        <w:tblPrEx>
          <w:tblCellMar>
            <w:top w:w="15" w:type="dxa"/>
            <w:left w:w="15" w:type="dxa"/>
            <w:bottom w:w="15" w:type="dxa"/>
            <w:right w:w="15" w:type="dxa"/>
          </w:tblCellMar>
        </w:tblPrEx>
        <w:trPr>
          <w:tblHeader/>
        </w:trPr>
        <w:tc>
          <w:tcPr>
            <w:tcW w:w="4954"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人员经费合计 </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895.72</w:t>
            </w:r>
          </w:p>
        </w:tc>
        <w:tc>
          <w:tcPr>
            <w:tcW w:w="33" w:type="pct"/>
            <w:gridSpan w:val="5"/>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公用经费合计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19.46</w:t>
            </w: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ascii="宋体" w:hAnsi="宋体" w:cs="宋体"/>
          <w:kern w:val="0"/>
          <w:sz w:val="32"/>
          <w:szCs w:val="32"/>
        </w:rPr>
      </w:pPr>
      <w:r>
        <w:rPr>
          <w:rFonts w:ascii="宋体" w:hAnsi="宋体" w:cs="宋体"/>
          <w:kern w:val="0"/>
          <w:sz w:val="32"/>
          <w:szCs w:val="32"/>
        </w:rPr>
        <w:t>注：本表反映部门本年度一般公共预算财政拨款基本支出明细情况。</w:t>
      </w: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ascii="宋体" w:hAnsi="宋体" w:cs="宋体"/>
          <w:kern w:val="0"/>
          <w:sz w:val="32"/>
          <w:szCs w:val="32"/>
        </w:rPr>
      </w:pPr>
    </w:p>
    <w:p>
      <w:pPr>
        <w:pStyle w:val="32"/>
        <w:widowControl/>
        <w:spacing w:before="100" w:after="100"/>
        <w:jc w:val="left"/>
        <w:rPr>
          <w:rFonts w:eastAsia="Times New Roman"/>
          <w:kern w:val="0"/>
          <w:sz w:val="24"/>
        </w:rPr>
      </w:pP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1"/>
        <w:widowControl/>
        <w:spacing w:before="100" w:after="100"/>
        <w:jc w:val="left"/>
        <w:rPr>
          <w:rFonts w:eastAsia="Times New Roman"/>
          <w:kern w:val="0"/>
          <w:sz w:val="24"/>
        </w:rPr>
      </w:pPr>
      <w:r>
        <w:rPr>
          <w:rFonts w:ascii="黑体" w:hAnsi="黑体" w:eastAsia="黑体" w:cs="黑体"/>
          <w:kern w:val="0"/>
          <w:sz w:val="32"/>
          <w:szCs w:val="32"/>
        </w:rPr>
        <w:t>七、一般公共预算财政拨款“三公”经费支出决算表</w:t>
      </w:r>
    </w:p>
    <w:tbl>
      <w:tblPr>
        <w:tblStyle w:val="20"/>
        <w:tblW w:w="5000" w:type="pct"/>
        <w:tblInd w:w="0" w:type="dxa"/>
        <w:tblLayout w:type="autofit"/>
        <w:tblCellMar>
          <w:top w:w="15" w:type="dxa"/>
          <w:left w:w="15" w:type="dxa"/>
          <w:bottom w:w="15" w:type="dxa"/>
          <w:right w:w="15" w:type="dxa"/>
        </w:tblCellMar>
      </w:tblPr>
      <w:tblGrid>
        <w:gridCol w:w="7027"/>
        <w:gridCol w:w="1122"/>
        <w:gridCol w:w="1635"/>
      </w:tblGrid>
      <w:tr>
        <w:tblPrEx>
          <w:tblCellMar>
            <w:top w:w="15" w:type="dxa"/>
            <w:left w:w="15" w:type="dxa"/>
            <w:bottom w:w="15" w:type="dxa"/>
            <w:right w:w="15" w:type="dxa"/>
          </w:tblCellMar>
        </w:tblPrEx>
        <w:trPr>
          <w:tblHeader/>
        </w:trPr>
        <w:tc>
          <w:tcPr>
            <w:tcW w:w="500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53"/>
                <w:szCs w:val="53"/>
              </w:rPr>
            </w:pPr>
            <w:r>
              <w:rPr>
                <w:rFonts w:ascii="宋体" w:hAnsi="宋体" w:cs="宋体"/>
                <w:color w:val="000000"/>
                <w:kern w:val="0"/>
                <w:sz w:val="53"/>
                <w:szCs w:val="53"/>
              </w:rPr>
              <w:t>一般公共预算财政拨款“三公”经费支出决算</w:t>
            </w:r>
          </w:p>
        </w:tc>
      </w:tr>
      <w:tr>
        <w:tblPrEx>
          <w:tblCellMar>
            <w:top w:w="15" w:type="dxa"/>
            <w:left w:w="15" w:type="dxa"/>
            <w:bottom w:w="15" w:type="dxa"/>
            <w:right w:w="15" w:type="dxa"/>
          </w:tblCellMar>
        </w:tblPrEx>
        <w:trPr>
          <w:tblHeader/>
        </w:trPr>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项目</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行次</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决算数</w:t>
            </w:r>
          </w:p>
        </w:tc>
      </w:tr>
      <w:tr>
        <w:tblPrEx>
          <w:tblCellMar>
            <w:top w:w="15" w:type="dxa"/>
            <w:left w:w="15" w:type="dxa"/>
            <w:bottom w:w="15" w:type="dxa"/>
            <w:right w:w="15" w:type="dxa"/>
          </w:tblCellMar>
        </w:tblPrEx>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合计</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1</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9.58</w:t>
            </w:r>
          </w:p>
        </w:tc>
      </w:tr>
      <w:tr>
        <w:tblPrEx>
          <w:tblCellMar>
            <w:top w:w="15" w:type="dxa"/>
            <w:left w:w="15" w:type="dxa"/>
            <w:bottom w:w="15" w:type="dxa"/>
            <w:right w:w="15" w:type="dxa"/>
          </w:tblCellMar>
        </w:tblPrEx>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1. 因公出国（境）费</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2</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p>
        </w:tc>
      </w:tr>
      <w:tr>
        <w:tblPrEx>
          <w:tblCellMar>
            <w:top w:w="15" w:type="dxa"/>
            <w:left w:w="15" w:type="dxa"/>
            <w:bottom w:w="15" w:type="dxa"/>
            <w:right w:w="15" w:type="dxa"/>
          </w:tblCellMar>
        </w:tblPrEx>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2. 公务用车购置及运行维护费</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3</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5.2</w:t>
            </w:r>
          </w:p>
        </w:tc>
      </w:tr>
      <w:tr>
        <w:tblPrEx>
          <w:tblCellMar>
            <w:top w:w="15" w:type="dxa"/>
            <w:left w:w="15" w:type="dxa"/>
            <w:bottom w:w="15" w:type="dxa"/>
            <w:right w:w="15" w:type="dxa"/>
          </w:tblCellMar>
        </w:tblPrEx>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其中：（1）公务用车购置费</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4</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p>
        </w:tc>
      </w:tr>
      <w:tr>
        <w:tblPrEx>
          <w:tblCellMar>
            <w:top w:w="15" w:type="dxa"/>
            <w:left w:w="15" w:type="dxa"/>
            <w:bottom w:w="15" w:type="dxa"/>
            <w:right w:w="15" w:type="dxa"/>
          </w:tblCellMar>
        </w:tblPrEx>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（2）公务用车运行维护费</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5</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5.2</w:t>
            </w:r>
          </w:p>
        </w:tc>
      </w:tr>
      <w:tr>
        <w:tblPrEx>
          <w:tblCellMar>
            <w:top w:w="15" w:type="dxa"/>
            <w:left w:w="15" w:type="dxa"/>
            <w:bottom w:w="15" w:type="dxa"/>
            <w:right w:w="15" w:type="dxa"/>
          </w:tblCellMar>
        </w:tblPrEx>
        <w:tc>
          <w:tcPr>
            <w:tcW w:w="3593"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3. 公务接待费</w:t>
            </w:r>
          </w:p>
        </w:tc>
        <w:tc>
          <w:tcPr>
            <w:tcW w:w="572"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6</w:t>
            </w:r>
          </w:p>
        </w:tc>
        <w:tc>
          <w:tcPr>
            <w:tcW w:w="835"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tcPr>
          <w:p>
            <w:pPr>
              <w:widowControl/>
              <w:rPr>
                <w:rFonts w:ascii="宋体" w:hAnsi="宋体" w:cs="宋体"/>
                <w:color w:val="000000"/>
                <w:kern w:val="0"/>
                <w:sz w:val="26"/>
                <w:szCs w:val="26"/>
              </w:rPr>
            </w:pPr>
            <w:r>
              <w:rPr>
                <w:rFonts w:ascii="宋体" w:hAnsi="宋体" w:cs="宋体"/>
                <w:color w:val="000000"/>
                <w:kern w:val="0"/>
                <w:sz w:val="26"/>
                <w:szCs w:val="26"/>
              </w:rPr>
              <w:t>4.38</w:t>
            </w:r>
          </w:p>
        </w:tc>
      </w:tr>
    </w:tbl>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ascii="黑体" w:hAnsi="黑体" w:eastAsia="黑体" w:cs="黑体"/>
          <w:kern w:val="0"/>
          <w:sz w:val="32"/>
          <w:szCs w:val="32"/>
        </w:rPr>
      </w:pPr>
    </w:p>
    <w:p>
      <w:pPr>
        <w:pStyle w:val="31"/>
        <w:widowControl/>
        <w:spacing w:before="100" w:after="100"/>
        <w:jc w:val="left"/>
        <w:rPr>
          <w:rFonts w:eastAsia="Times New Roman"/>
          <w:kern w:val="0"/>
          <w:sz w:val="24"/>
        </w:rPr>
      </w:pPr>
      <w:r>
        <w:rPr>
          <w:rFonts w:ascii="黑体" w:hAnsi="黑体" w:eastAsia="黑体" w:cs="黑体"/>
          <w:kern w:val="0"/>
          <w:sz w:val="32"/>
          <w:szCs w:val="32"/>
        </w:rPr>
        <w:t>八、政府性基金预算财政拨款收入支出决算表</w:t>
      </w:r>
    </w:p>
    <w:tbl>
      <w:tblPr>
        <w:tblStyle w:val="20"/>
        <w:tblW w:w="5000" w:type="pct"/>
        <w:tblInd w:w="0" w:type="dxa"/>
        <w:tblLayout w:type="autofit"/>
        <w:tblCellMar>
          <w:top w:w="15" w:type="dxa"/>
          <w:left w:w="15" w:type="dxa"/>
          <w:bottom w:w="15" w:type="dxa"/>
          <w:right w:w="15" w:type="dxa"/>
        </w:tblCellMar>
      </w:tblPr>
      <w:tblGrid>
        <w:gridCol w:w="1742"/>
        <w:gridCol w:w="2763"/>
        <w:gridCol w:w="1234"/>
        <w:gridCol w:w="724"/>
        <w:gridCol w:w="639"/>
        <w:gridCol w:w="724"/>
        <w:gridCol w:w="724"/>
        <w:gridCol w:w="1234"/>
      </w:tblGrid>
      <w:tr>
        <w:tblPrEx>
          <w:tblCellMar>
            <w:top w:w="15" w:type="dxa"/>
            <w:left w:w="15" w:type="dxa"/>
            <w:bottom w:w="15" w:type="dxa"/>
            <w:right w:w="15" w:type="dxa"/>
          </w:tblCellMar>
        </w:tblPrEx>
        <w:trPr>
          <w:tblHeader/>
        </w:trPr>
        <w:tc>
          <w:tcPr>
            <w:tcW w:w="5000" w:type="pct"/>
            <w:gridSpan w:val="8"/>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政府性基金预算财政拨款收入支出决算表</w:t>
            </w:r>
          </w:p>
        </w:tc>
      </w:tr>
      <w:tr>
        <w:tblPrEx>
          <w:tblCellMar>
            <w:top w:w="15" w:type="dxa"/>
            <w:left w:w="15" w:type="dxa"/>
            <w:bottom w:w="15" w:type="dxa"/>
            <w:right w:w="15" w:type="dxa"/>
          </w:tblCellMar>
        </w:tblPrEx>
        <w:trPr>
          <w:tblHeader/>
        </w:trPr>
        <w:tc>
          <w:tcPr>
            <w:tcW w:w="496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年初结转和结余 </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本年收入</w:t>
            </w:r>
          </w:p>
        </w:tc>
        <w:tc>
          <w:tcPr>
            <w:tcW w:w="2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本年支出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年末结转和结余</w:t>
            </w:r>
          </w:p>
        </w:tc>
      </w:tr>
      <w:tr>
        <w:tblPrEx>
          <w:tblCellMar>
            <w:top w:w="15" w:type="dxa"/>
            <w:left w:w="15" w:type="dxa"/>
            <w:bottom w:w="15" w:type="dxa"/>
            <w:right w:w="15" w:type="dxa"/>
          </w:tblCellMar>
        </w:tblPrEx>
        <w:trPr>
          <w:trHeight w:val="624" w:hRule="atLeast"/>
          <w:tblHeader/>
        </w:trPr>
        <w:tc>
          <w:tcPr>
            <w:tcW w:w="341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支出功能分类科目编码</w:t>
            </w:r>
          </w:p>
        </w:tc>
        <w:tc>
          <w:tcPr>
            <w:tcW w:w="155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科目名称</w:t>
            </w:r>
          </w:p>
        </w:tc>
        <w:tc>
          <w:tcPr>
            <w:tcW w:w="7" w:type="pct"/>
            <w:vMerge w:val="continue"/>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宋体" w:hAnsi="宋体" w:cs="宋体"/>
                <w:color w:val="000000"/>
                <w:kern w:val="0"/>
                <w:sz w:val="26"/>
                <w:szCs w:val="26"/>
              </w:rPr>
            </w:pP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小计</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 xml:space="preserve">基本支出 </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项目支出</w:t>
            </w: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rPr>
          <w:trHeight w:val="624" w:hRule="atLeast"/>
        </w:trPr>
        <w:tc>
          <w:tcPr>
            <w:tcW w:w="341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155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6"/>
                <w:szCs w:val="26"/>
              </w:rPr>
            </w:pPr>
          </w:p>
        </w:tc>
      </w:tr>
      <w:tr>
        <w:tblPrEx>
          <w:tblCellMar>
            <w:top w:w="15" w:type="dxa"/>
            <w:left w:w="15" w:type="dxa"/>
            <w:bottom w:w="15" w:type="dxa"/>
            <w:right w:w="15" w:type="dxa"/>
          </w:tblCellMar>
        </w:tblPrEx>
        <w:tc>
          <w:tcPr>
            <w:tcW w:w="496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栏次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3</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4</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5</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6</w:t>
            </w:r>
          </w:p>
        </w:tc>
      </w:tr>
      <w:tr>
        <w:tblPrEx>
          <w:tblCellMar>
            <w:top w:w="15" w:type="dxa"/>
            <w:left w:w="15" w:type="dxa"/>
            <w:bottom w:w="15" w:type="dxa"/>
            <w:right w:w="15" w:type="dxa"/>
          </w:tblCellMar>
        </w:tblPrEx>
        <w:tc>
          <w:tcPr>
            <w:tcW w:w="496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6"/>
                <w:szCs w:val="26"/>
              </w:rPr>
            </w:pPr>
            <w:r>
              <w:rPr>
                <w:rFonts w:ascii="宋体" w:hAnsi="宋体" w:cs="宋体"/>
                <w:color w:val="000000"/>
                <w:kern w:val="0"/>
                <w:sz w:val="26"/>
                <w:szCs w:val="26"/>
              </w:rPr>
              <w:t>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城乡社区支出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国有土地使用权出让收入安排的支出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2120801</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征地和拆迁补偿支出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1,400</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r>
        <w:tblPrEx>
          <w:tblCellMar>
            <w:top w:w="15" w:type="dxa"/>
            <w:left w:w="15" w:type="dxa"/>
            <w:bottom w:w="15" w:type="dxa"/>
            <w:right w:w="15" w:type="dxa"/>
          </w:tblCellMar>
        </w:tblPrEx>
        <w:tc>
          <w:tcPr>
            <w:tcW w:w="341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2120814</w:t>
            </w:r>
          </w:p>
        </w:tc>
        <w:tc>
          <w:tcPr>
            <w:tcW w:w="1550"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left"/>
              <w:rPr>
                <w:rFonts w:ascii="宋体" w:hAnsi="宋体" w:cs="宋体"/>
                <w:color w:val="000000"/>
                <w:kern w:val="0"/>
                <w:sz w:val="26"/>
                <w:szCs w:val="26"/>
              </w:rPr>
            </w:pPr>
            <w:r>
              <w:rPr>
                <w:rFonts w:ascii="宋体" w:hAnsi="宋体" w:cs="宋体"/>
                <w:color w:val="000000"/>
                <w:kern w:val="0"/>
                <w:sz w:val="26"/>
                <w:szCs w:val="26"/>
              </w:rPr>
              <w:t>农业生产发展支出</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r>
              <w:rPr>
                <w:rFonts w:ascii="宋体" w:hAnsi="宋体" w:cs="宋体"/>
                <w:color w:val="000000"/>
                <w:kern w:val="0"/>
                <w:sz w:val="26"/>
                <w:szCs w:val="26"/>
              </w:rPr>
              <w:t>45.48</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6"/>
                <w:szCs w:val="26"/>
              </w:rPr>
            </w:pPr>
          </w:p>
        </w:tc>
      </w:tr>
    </w:tbl>
    <w:p>
      <w:pPr>
        <w:widowControl/>
        <w:spacing w:after="100"/>
        <w:jc w:val="left"/>
        <w:rPr>
          <w:rFonts w:ascii="宋体" w:hAnsi="宋体" w:cs="宋体"/>
          <w:kern w:val="0"/>
          <w:sz w:val="32"/>
          <w:szCs w:val="32"/>
        </w:rPr>
      </w:pPr>
      <w:r>
        <w:rPr>
          <w:rFonts w:ascii="宋体" w:hAnsi="宋体" w:cs="宋体"/>
          <w:kern w:val="0"/>
          <w:sz w:val="32"/>
          <w:szCs w:val="32"/>
        </w:rPr>
        <w:t> </w:t>
      </w:r>
    </w:p>
    <w:p>
      <w:pPr>
        <w:pStyle w:val="32"/>
        <w:widowControl/>
        <w:spacing w:before="100" w:after="100"/>
        <w:jc w:val="left"/>
        <w:rPr>
          <w:rFonts w:eastAsia="Times New Roman"/>
          <w:kern w:val="0"/>
          <w:sz w:val="24"/>
        </w:rPr>
      </w:pPr>
      <w:r>
        <w:rPr>
          <w:rFonts w:ascii="宋体" w:hAnsi="宋体" w:cs="宋体"/>
          <w:kern w:val="0"/>
          <w:sz w:val="32"/>
          <w:szCs w:val="32"/>
        </w:rPr>
        <w:t>注：</w:t>
      </w:r>
      <w:r>
        <w:rPr>
          <w:rFonts w:eastAsia="Times New Roman"/>
          <w:kern w:val="0"/>
          <w:sz w:val="32"/>
          <w:szCs w:val="32"/>
        </w:rPr>
        <w:t>1.</w:t>
      </w:r>
      <w:r>
        <w:rPr>
          <w:rFonts w:ascii="Calibri" w:hAnsi="Calibri" w:eastAsia="Calibri" w:cs="Calibri"/>
          <w:kern w:val="0"/>
          <w:sz w:val="32"/>
          <w:szCs w:val="32"/>
        </w:rPr>
        <w:t> </w:t>
      </w:r>
      <w:r>
        <w:rPr>
          <w:rFonts w:ascii="宋体" w:hAnsi="宋体" w:cs="宋体"/>
          <w:kern w:val="0"/>
          <w:sz w:val="32"/>
          <w:szCs w:val="32"/>
        </w:rPr>
        <w:t>本表反映部门本年度政府性基金预算财政拨款收入、支出及结转和结余情况。</w:t>
      </w:r>
    </w:p>
    <w:p>
      <w:pPr>
        <w:pStyle w:val="31"/>
        <w:widowControl/>
        <w:spacing w:before="100" w:after="100"/>
        <w:ind w:firstLine="480"/>
        <w:jc w:val="left"/>
        <w:rPr>
          <w:rFonts w:eastAsia="Times New Roman"/>
          <w:kern w:val="0"/>
          <w:sz w:val="24"/>
        </w:rPr>
      </w:pPr>
      <w:r>
        <w:rPr>
          <w:rFonts w:eastAsia="Times New Roman"/>
          <w:kern w:val="0"/>
          <w:sz w:val="32"/>
          <w:szCs w:val="32"/>
        </w:rPr>
        <w:t>2. </w:t>
      </w:r>
      <w:r>
        <w:rPr>
          <w:rFonts w:ascii="宋体" w:hAnsi="宋体" w:cs="宋体"/>
          <w:kern w:val="0"/>
          <w:sz w:val="32"/>
          <w:szCs w:val="32"/>
        </w:rPr>
        <w:t>没有政府性基金拨款支出的部门请公开空表，并说明“本部门2023年度没有使用政府性基金预算拨款安排的收支”。</w:t>
      </w:r>
    </w:p>
    <w:p>
      <w:pPr>
        <w:pStyle w:val="31"/>
        <w:widowControl/>
        <w:spacing w:before="100" w:after="100"/>
        <w:jc w:val="left"/>
        <w:rPr>
          <w:rFonts w:eastAsia="Times New Roman"/>
          <w:kern w:val="0"/>
          <w:sz w:val="24"/>
        </w:rPr>
      </w:pPr>
      <w:r>
        <w:rPr>
          <w:rFonts w:ascii="Calibri" w:hAnsi="Calibri" w:eastAsia="Calibri" w:cs="Calibri"/>
          <w:kern w:val="0"/>
          <w:sz w:val="32"/>
          <w:szCs w:val="32"/>
        </w:rPr>
        <w:t> </w:t>
      </w:r>
    </w:p>
    <w:p>
      <w:pPr>
        <w:pStyle w:val="32"/>
        <w:widowControl/>
        <w:spacing w:before="100" w:after="100"/>
        <w:jc w:val="left"/>
        <w:rPr>
          <w:rFonts w:eastAsia="Times New Roman"/>
          <w:kern w:val="0"/>
          <w:sz w:val="24"/>
        </w:rPr>
      </w:pPr>
      <w:r>
        <w:rPr>
          <w:rFonts w:ascii="黑体" w:hAnsi="黑体" w:eastAsia="黑体" w:cs="黑体"/>
          <w:kern w:val="0"/>
          <w:sz w:val="32"/>
          <w:szCs w:val="32"/>
        </w:rPr>
        <w:t>九、国有资本经营预算财政拨款支出决算表</w:t>
      </w:r>
    </w:p>
    <w:tbl>
      <w:tblPr>
        <w:tblStyle w:val="20"/>
        <w:tblW w:w="5000" w:type="pct"/>
        <w:tblInd w:w="0" w:type="dxa"/>
        <w:tblLayout w:type="autofit"/>
        <w:tblCellMar>
          <w:top w:w="15" w:type="dxa"/>
          <w:left w:w="15" w:type="dxa"/>
          <w:bottom w:w="15" w:type="dxa"/>
          <w:right w:w="15" w:type="dxa"/>
        </w:tblCellMar>
      </w:tblPr>
      <w:tblGrid>
        <w:gridCol w:w="5001"/>
        <w:gridCol w:w="2306"/>
        <w:gridCol w:w="513"/>
        <w:gridCol w:w="982"/>
        <w:gridCol w:w="982"/>
      </w:tblGrid>
      <w:tr>
        <w:tblPrEx>
          <w:tblCellMar>
            <w:top w:w="15" w:type="dxa"/>
            <w:left w:w="15" w:type="dxa"/>
            <w:bottom w:w="15" w:type="dxa"/>
            <w:right w:w="15" w:type="dxa"/>
          </w:tblCellMar>
        </w:tblPrEx>
        <w:trPr>
          <w:tblHeader/>
        </w:trPr>
        <w:tc>
          <w:tcPr>
            <w:tcW w:w="5000" w:type="pct"/>
            <w:gridSpan w:val="5"/>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53"/>
                <w:szCs w:val="53"/>
              </w:rPr>
            </w:pPr>
            <w:r>
              <w:rPr>
                <w:rFonts w:ascii="宋体" w:hAnsi="宋体" w:cs="宋体"/>
                <w:color w:val="000000"/>
                <w:kern w:val="0"/>
                <w:sz w:val="53"/>
                <w:szCs w:val="53"/>
              </w:rPr>
              <w:t>国有资本经营预算财政拨款支出决算表</w:t>
            </w:r>
          </w:p>
        </w:tc>
      </w:tr>
      <w:tr>
        <w:tblPrEx>
          <w:tblCellMar>
            <w:top w:w="15" w:type="dxa"/>
            <w:left w:w="15" w:type="dxa"/>
            <w:bottom w:w="15" w:type="dxa"/>
            <w:right w:w="15" w:type="dxa"/>
          </w:tblCellMar>
        </w:tblPrEx>
        <w:trPr>
          <w:tblHeader/>
        </w:trPr>
        <w:tc>
          <w:tcPr>
            <w:tcW w:w="498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项 目</w:t>
            </w:r>
          </w:p>
        </w:tc>
        <w:tc>
          <w:tcPr>
            <w:tcW w:w="20" w:type="pct"/>
            <w:gridSpan w:val="3"/>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本年支出</w:t>
            </w:r>
          </w:p>
        </w:tc>
      </w:tr>
      <w:tr>
        <w:tblPrEx>
          <w:tblCellMar>
            <w:top w:w="15" w:type="dxa"/>
            <w:left w:w="15" w:type="dxa"/>
            <w:bottom w:w="15" w:type="dxa"/>
            <w:right w:w="15" w:type="dxa"/>
          </w:tblCellMar>
        </w:tblPrEx>
        <w:trPr>
          <w:trHeight w:val="624" w:hRule="atLeast"/>
          <w:tblHeader/>
        </w:trPr>
        <w:tc>
          <w:tcPr>
            <w:tcW w:w="341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科目代码</w:t>
            </w:r>
          </w:p>
        </w:tc>
        <w:tc>
          <w:tcPr>
            <w:tcW w:w="1570"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科目名称</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合计</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基本支出</w:t>
            </w:r>
          </w:p>
        </w:tc>
        <w:tc>
          <w:tcPr>
            <w:tcW w:w="7" w:type="pct"/>
            <w:vMerge w:val="restar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项目支出</w:t>
            </w:r>
          </w:p>
        </w:tc>
      </w:tr>
      <w:tr>
        <w:tblPrEx>
          <w:tblCellMar>
            <w:top w:w="15" w:type="dxa"/>
            <w:left w:w="15" w:type="dxa"/>
            <w:bottom w:w="15" w:type="dxa"/>
            <w:right w:w="15" w:type="dxa"/>
          </w:tblCellMar>
        </w:tblPrEx>
        <w:trPr>
          <w:trHeight w:val="624" w:hRule="atLeast"/>
        </w:trPr>
        <w:tc>
          <w:tcPr>
            <w:tcW w:w="341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157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r>
      <w:tr>
        <w:tblPrEx>
          <w:tblCellMar>
            <w:top w:w="15" w:type="dxa"/>
            <w:left w:w="15" w:type="dxa"/>
            <w:bottom w:w="15" w:type="dxa"/>
            <w:right w:w="15" w:type="dxa"/>
          </w:tblCellMar>
        </w:tblPrEx>
        <w:trPr>
          <w:trHeight w:val="624" w:hRule="atLeast"/>
        </w:trPr>
        <w:tc>
          <w:tcPr>
            <w:tcW w:w="341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1570"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c>
          <w:tcPr>
            <w:tcW w:w="7" w:type="pct"/>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000000"/>
                <w:kern w:val="0"/>
                <w:sz w:val="29"/>
                <w:szCs w:val="29"/>
              </w:rPr>
            </w:pPr>
          </w:p>
        </w:tc>
      </w:tr>
      <w:tr>
        <w:tblPrEx>
          <w:tblCellMar>
            <w:top w:w="15" w:type="dxa"/>
            <w:left w:w="15" w:type="dxa"/>
            <w:bottom w:w="15" w:type="dxa"/>
            <w:right w:w="15" w:type="dxa"/>
          </w:tblCellMar>
        </w:tblPrEx>
        <w:tc>
          <w:tcPr>
            <w:tcW w:w="498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栏次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1</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2</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3</w:t>
            </w:r>
          </w:p>
        </w:tc>
      </w:tr>
      <w:tr>
        <w:tblPrEx>
          <w:tblCellMar>
            <w:top w:w="15" w:type="dxa"/>
            <w:left w:w="15" w:type="dxa"/>
            <w:bottom w:w="15" w:type="dxa"/>
            <w:right w:w="15" w:type="dxa"/>
          </w:tblCellMar>
        </w:tblPrEx>
        <w:tc>
          <w:tcPr>
            <w:tcW w:w="4980" w:type="pct"/>
            <w:gridSpan w:val="2"/>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center"/>
              <w:rPr>
                <w:rFonts w:ascii="宋体" w:hAnsi="宋体" w:cs="宋体"/>
                <w:color w:val="000000"/>
                <w:kern w:val="0"/>
                <w:sz w:val="29"/>
                <w:szCs w:val="29"/>
              </w:rPr>
            </w:pPr>
            <w:r>
              <w:rPr>
                <w:rFonts w:ascii="宋体" w:hAnsi="宋体" w:cs="宋体"/>
                <w:color w:val="000000"/>
                <w:kern w:val="0"/>
                <w:sz w:val="29"/>
                <w:szCs w:val="29"/>
              </w:rPr>
              <w:t>合计</w:t>
            </w: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c>
          <w:tcPr>
            <w:tcW w:w="7" w:type="pct"/>
            <w:tcBorders>
              <w:top w:val="single" w:color="000000" w:sz="6" w:space="0"/>
              <w:left w:val="single" w:color="000000" w:sz="6" w:space="0"/>
              <w:bottom w:val="single" w:color="000000" w:sz="6" w:space="0"/>
              <w:right w:val="single" w:color="000000" w:sz="6" w:space="0"/>
            </w:tcBorders>
            <w:noWrap/>
            <w:tcMar>
              <w:top w:w="22" w:type="dxa"/>
              <w:left w:w="22" w:type="dxa"/>
              <w:bottom w:w="22" w:type="dxa"/>
              <w:right w:w="22" w:type="dxa"/>
            </w:tcMar>
            <w:vAlign w:val="center"/>
          </w:tcPr>
          <w:p>
            <w:pPr>
              <w:widowControl/>
              <w:jc w:val="right"/>
              <w:rPr>
                <w:rFonts w:ascii="宋体" w:hAnsi="宋体" w:cs="宋体"/>
                <w:color w:val="000000"/>
                <w:kern w:val="0"/>
                <w:sz w:val="29"/>
                <w:szCs w:val="29"/>
              </w:rPr>
            </w:pPr>
          </w:p>
        </w:tc>
      </w:tr>
    </w:tbl>
    <w:p>
      <w:pPr>
        <w:widowControl/>
        <w:spacing w:after="100"/>
        <w:jc w:val="left"/>
        <w:rPr>
          <w:rFonts w:ascii="Calibri" w:hAnsi="Calibri" w:eastAsia="Calibri" w:cs="Calibri"/>
          <w:kern w:val="0"/>
          <w:szCs w:val="21"/>
        </w:rPr>
      </w:pPr>
      <w:r>
        <w:rPr>
          <w:rFonts w:ascii="Calibri" w:hAnsi="Calibri" w:eastAsia="Calibri" w:cs="Calibri"/>
          <w:kern w:val="0"/>
          <w:szCs w:val="21"/>
        </w:rPr>
        <w:t> </w:t>
      </w:r>
    </w:p>
    <w:p>
      <w:pPr>
        <w:pStyle w:val="31"/>
        <w:widowControl/>
        <w:spacing w:before="100" w:after="100" w:line="600" w:lineRule="atLeast"/>
        <w:jc w:val="center"/>
        <w:rPr>
          <w:rFonts w:eastAsia="Times New Roman"/>
          <w:kern w:val="0"/>
          <w:sz w:val="24"/>
        </w:rPr>
      </w:pPr>
      <w:r>
        <w:rPr>
          <w:rFonts w:ascii="宋体" w:hAnsi="宋体" w:cs="宋体"/>
          <w:kern w:val="0"/>
          <w:sz w:val="36"/>
          <w:szCs w:val="36"/>
        </w:rPr>
        <w:t> </w:t>
      </w:r>
    </w:p>
    <w:p>
      <w:pPr>
        <w:pStyle w:val="31"/>
        <w:widowControl/>
        <w:spacing w:before="100" w:after="100" w:line="600" w:lineRule="atLeast"/>
        <w:jc w:val="center"/>
        <w:rPr>
          <w:rFonts w:eastAsia="Times New Roman"/>
          <w:kern w:val="0"/>
          <w:sz w:val="24"/>
        </w:rPr>
      </w:pPr>
      <w:r>
        <w:rPr>
          <w:rFonts w:ascii="宋体" w:hAnsi="宋体" w:cs="宋体"/>
          <w:kern w:val="0"/>
          <w:sz w:val="36"/>
          <w:szCs w:val="36"/>
        </w:rPr>
        <w:t> </w:t>
      </w:r>
    </w:p>
    <w:p>
      <w:pPr>
        <w:pStyle w:val="31"/>
        <w:widowControl/>
        <w:spacing w:before="100" w:after="100" w:line="600" w:lineRule="atLeast"/>
        <w:jc w:val="center"/>
        <w:rPr>
          <w:rFonts w:eastAsia="Times New Roman"/>
          <w:kern w:val="0"/>
          <w:sz w:val="24"/>
        </w:rPr>
      </w:pPr>
      <w:r>
        <w:rPr>
          <w:rFonts w:ascii="宋体" w:hAnsi="宋体" w:cs="宋体"/>
          <w:kern w:val="0"/>
          <w:sz w:val="36"/>
          <w:szCs w:val="36"/>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jc w:val="center"/>
        <w:rPr>
          <w:rFonts w:eastAsia="Times New Roman"/>
          <w:kern w:val="0"/>
          <w:sz w:val="24"/>
        </w:rPr>
      </w:pPr>
      <w:r>
        <w:rPr>
          <w:rFonts w:ascii="宋体" w:hAnsi="宋体" w:cs="宋体"/>
          <w:kern w:val="0"/>
          <w:sz w:val="36"/>
          <w:szCs w:val="36"/>
        </w:rPr>
        <w:t> </w:t>
      </w:r>
    </w:p>
    <w:p>
      <w:pPr>
        <w:pStyle w:val="32"/>
        <w:widowControl/>
        <w:spacing w:before="100" w:after="100"/>
        <w:rPr>
          <w:rFonts w:eastAsia="Times New Roman"/>
          <w:kern w:val="0"/>
          <w:sz w:val="24"/>
        </w:rPr>
      </w:pPr>
      <w:r>
        <w:rPr>
          <w:rFonts w:ascii="黑体" w:hAnsi="黑体" w:eastAsia="黑体" w:cs="黑体"/>
          <w:kern w:val="0"/>
          <w:sz w:val="56"/>
          <w:szCs w:val="56"/>
        </w:rPr>
        <w:t>第三部分</w:t>
      </w:r>
      <w:r>
        <w:rPr>
          <w:rFonts w:ascii="宋体" w:hAnsi="宋体" w:cs="宋体"/>
          <w:kern w:val="0"/>
          <w:sz w:val="56"/>
          <w:szCs w:val="56"/>
        </w:rPr>
        <w:t> </w:t>
      </w:r>
    </w:p>
    <w:p>
      <w:pPr>
        <w:pStyle w:val="31"/>
        <w:widowControl/>
        <w:spacing w:before="100" w:after="100" w:line="600" w:lineRule="atLeast"/>
        <w:jc w:val="center"/>
        <w:rPr>
          <w:rFonts w:eastAsia="Times New Roman"/>
          <w:kern w:val="0"/>
          <w:sz w:val="24"/>
        </w:rPr>
      </w:pPr>
      <w:r>
        <w:rPr>
          <w:rFonts w:ascii="黑体" w:hAnsi="黑体" w:eastAsia="黑体" w:cs="黑体"/>
          <w:kern w:val="0"/>
          <w:sz w:val="56"/>
          <w:szCs w:val="56"/>
        </w:rPr>
        <w:t>2023年度部门决算情况说明</w:t>
      </w:r>
    </w:p>
    <w:p>
      <w:pPr>
        <w:pStyle w:val="31"/>
        <w:widowControl/>
        <w:spacing w:before="100" w:after="100" w:line="600" w:lineRule="atLeast"/>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一、收入支出决算总体情况说明</w:t>
      </w:r>
    </w:p>
    <w:p>
      <w:pPr>
        <w:pStyle w:val="31"/>
        <w:widowControl/>
        <w:spacing w:before="100" w:after="100" w:line="600" w:lineRule="atLeast"/>
        <w:ind w:firstLine="640"/>
        <w:jc w:val="left"/>
        <w:rPr>
          <w:rFonts w:eastAsia="Times New Roman"/>
          <w:kern w:val="0"/>
          <w:sz w:val="24"/>
        </w:rPr>
      </w:pPr>
      <w:r>
        <w:rPr>
          <w:rFonts w:ascii="楷体_GB2312" w:hAnsi="楷体_GB2312" w:eastAsia="楷体_GB2312" w:cs="楷体_GB2312"/>
          <w:kern w:val="0"/>
          <w:sz w:val="32"/>
          <w:szCs w:val="32"/>
        </w:rPr>
        <w:t>（一）收入支出决算总体情况说明</w:t>
      </w:r>
    </w:p>
    <w:p>
      <w:pPr>
        <w:widowControl/>
        <w:spacing w:before="240" w:after="240"/>
        <w:ind w:firstLine="640" w:firstLineChars="200"/>
        <w:jc w:val="left"/>
        <w:rPr>
          <w:rFonts w:ascii="仿宋" w:hAnsi="仿宋" w:eastAsia="仿宋"/>
          <w:kern w:val="0"/>
          <w:sz w:val="32"/>
          <w:szCs w:val="32"/>
        </w:rPr>
      </w:pPr>
      <w:r>
        <w:rPr>
          <w:rFonts w:ascii="仿宋" w:hAnsi="仿宋" w:eastAsia="仿宋" w:cs="仿宋"/>
          <w:kern w:val="0"/>
          <w:sz w:val="32"/>
          <w:szCs w:val="32"/>
        </w:rPr>
        <w:t>2023年度本部门收入总计4,304.54万元，支出总计4,304.54万元，与上年决算数相比，各</w:t>
      </w:r>
      <w:r>
        <w:rPr>
          <w:rFonts w:hint="eastAsia" w:ascii="仿宋" w:hAnsi="仿宋" w:eastAsia="仿宋" w:cs="仿宋"/>
          <w:kern w:val="0"/>
          <w:sz w:val="32"/>
          <w:szCs w:val="32"/>
        </w:rPr>
        <w:t>减少</w:t>
      </w:r>
      <w:r>
        <w:rPr>
          <w:rFonts w:ascii="仿宋" w:hAnsi="仿宋" w:eastAsia="仿宋" w:cs="仿宋"/>
          <w:kern w:val="0"/>
          <w:sz w:val="32"/>
          <w:szCs w:val="32"/>
        </w:rPr>
        <w:t>6,250.77万元，下降59.22%。主要是</w:t>
      </w:r>
      <w:r>
        <w:rPr>
          <w:rFonts w:hint="eastAsia" w:ascii="仿宋" w:hAnsi="仿宋" w:eastAsia="仿宋"/>
          <w:kern w:val="0"/>
          <w:sz w:val="32"/>
          <w:szCs w:val="32"/>
        </w:rPr>
        <w:t>一般公共预算财政拨款收入减少了249.13万元，政府性基金预算财政拨款收入减少了5758.24万元</w:t>
      </w:r>
      <w:r>
        <w:rPr>
          <w:rFonts w:ascii="仿宋" w:hAnsi="仿宋" w:eastAsia="仿宋"/>
          <w:kern w:val="0"/>
          <w:sz w:val="32"/>
          <w:szCs w:val="32"/>
        </w:rPr>
        <w:t>。</w:t>
      </w:r>
    </w:p>
    <w:p>
      <w:pPr>
        <w:pStyle w:val="31"/>
        <w:widowControl/>
        <w:spacing w:before="100" w:after="100" w:line="600" w:lineRule="atLeast"/>
        <w:ind w:firstLine="640"/>
        <w:jc w:val="left"/>
        <w:rPr>
          <w:rFonts w:eastAsia="Times New Roman"/>
          <w:kern w:val="0"/>
          <w:sz w:val="24"/>
        </w:rPr>
      </w:pPr>
      <w:r>
        <w:rPr>
          <w:rFonts w:ascii="楷体_GB2312" w:hAnsi="楷体_GB2312" w:eastAsia="楷体_GB2312" w:cs="楷体_GB2312"/>
          <w:kern w:val="0"/>
          <w:sz w:val="32"/>
          <w:szCs w:val="32"/>
        </w:rPr>
        <w:t>（二）收入决算情况说明</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2023年度收入4,304.54万元，比上年决算数减少6,250.77万元，下降59.22％，具体情况如下：</w:t>
      </w:r>
    </w:p>
    <w:p>
      <w:pPr>
        <w:pStyle w:val="31"/>
        <w:widowControl/>
        <w:spacing w:before="100" w:after="100" w:line="600" w:lineRule="atLeast"/>
        <w:ind w:left="160" w:firstLine="480"/>
        <w:jc w:val="left"/>
        <w:rPr>
          <w:rFonts w:eastAsia="Times New Roman"/>
          <w:kern w:val="0"/>
          <w:sz w:val="24"/>
        </w:rPr>
      </w:pPr>
      <w:r>
        <w:rPr>
          <w:rFonts w:ascii="仿宋" w:hAnsi="仿宋" w:eastAsia="仿宋" w:cs="仿宋"/>
          <w:kern w:val="0"/>
          <w:sz w:val="32"/>
          <w:szCs w:val="32"/>
        </w:rPr>
        <w:t>1.一般公共预算财政拨款收入1,746.07万元。</w:t>
      </w:r>
    </w:p>
    <w:p>
      <w:pPr>
        <w:pStyle w:val="31"/>
        <w:widowControl/>
        <w:spacing w:before="100" w:after="100" w:line="600" w:lineRule="atLeast"/>
        <w:ind w:left="160" w:firstLine="480"/>
        <w:jc w:val="left"/>
        <w:rPr>
          <w:rFonts w:eastAsia="Times New Roman"/>
          <w:kern w:val="0"/>
          <w:sz w:val="24"/>
        </w:rPr>
      </w:pPr>
      <w:r>
        <w:rPr>
          <w:rFonts w:ascii="仿宋" w:hAnsi="仿宋" w:eastAsia="仿宋" w:cs="仿宋"/>
          <w:kern w:val="0"/>
          <w:sz w:val="32"/>
          <w:szCs w:val="32"/>
        </w:rPr>
        <w:t>2.政府性基金预算财政拨款收入1,445.48万元。</w:t>
      </w:r>
    </w:p>
    <w:p>
      <w:pPr>
        <w:pStyle w:val="31"/>
        <w:widowControl/>
        <w:spacing w:before="100" w:after="100" w:line="600" w:lineRule="atLeast"/>
        <w:ind w:left="160" w:firstLine="480"/>
        <w:jc w:val="left"/>
        <w:rPr>
          <w:rFonts w:eastAsia="Times New Roman"/>
          <w:kern w:val="0"/>
          <w:sz w:val="24"/>
        </w:rPr>
      </w:pPr>
      <w:r>
        <w:rPr>
          <w:rFonts w:ascii="仿宋" w:hAnsi="仿宋" w:eastAsia="仿宋" w:cs="仿宋"/>
          <w:kern w:val="0"/>
          <w:sz w:val="32"/>
          <w:szCs w:val="32"/>
        </w:rPr>
        <w:t>3.国有资本经营预算财政拨款收入0.00万元。</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4.上级补助收入0.00万元。</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5.事业收入0.00万元。</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6.经营收入0.00万元。</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7.附属单位上缴收入0.00万元。</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8.其他收入1,112.99万元。</w:t>
      </w:r>
    </w:p>
    <w:p>
      <w:pPr>
        <w:pStyle w:val="31"/>
        <w:widowControl/>
        <w:spacing w:before="100" w:after="100" w:line="600" w:lineRule="atLeast"/>
        <w:ind w:firstLine="640"/>
        <w:jc w:val="left"/>
        <w:rPr>
          <w:rFonts w:eastAsia="Times New Roman"/>
          <w:kern w:val="0"/>
          <w:sz w:val="24"/>
        </w:rPr>
      </w:pPr>
      <w:r>
        <w:rPr>
          <w:rFonts w:ascii="楷体_GB2312" w:hAnsi="楷体_GB2312" w:eastAsia="楷体_GB2312" w:cs="楷体_GB2312"/>
          <w:kern w:val="0"/>
          <w:sz w:val="32"/>
          <w:szCs w:val="32"/>
        </w:rPr>
        <w:t>（三）支出决算情况说明</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2023年度支出4,304.54万元，比上年决算数减少6,250.77万元，下降59.22％，具体情况如下：</w:t>
      </w:r>
    </w:p>
    <w:p>
      <w:pPr>
        <w:pStyle w:val="31"/>
        <w:widowControl/>
        <w:spacing w:before="100" w:after="100" w:line="600" w:lineRule="atLeast"/>
        <w:ind w:left="237" w:firstLine="480"/>
        <w:jc w:val="left"/>
        <w:rPr>
          <w:rFonts w:eastAsia="Times New Roman"/>
          <w:kern w:val="0"/>
          <w:sz w:val="24"/>
        </w:rPr>
      </w:pPr>
      <w:r>
        <w:rPr>
          <w:rFonts w:ascii="仿宋" w:hAnsi="仿宋" w:eastAsia="仿宋" w:cs="仿宋"/>
          <w:kern w:val="0"/>
          <w:sz w:val="32"/>
          <w:szCs w:val="32"/>
        </w:rPr>
        <w:t>1.基本支出2,028.17万元。其中，人员支出967.31万元，公用支出1,060.86万元。</w:t>
      </w:r>
    </w:p>
    <w:p>
      <w:pPr>
        <w:pStyle w:val="31"/>
        <w:widowControl/>
        <w:spacing w:before="100" w:after="100" w:line="600" w:lineRule="atLeast"/>
        <w:ind w:left="716"/>
        <w:jc w:val="left"/>
        <w:rPr>
          <w:rFonts w:eastAsia="Times New Roman"/>
          <w:kern w:val="0"/>
          <w:sz w:val="24"/>
        </w:rPr>
      </w:pPr>
      <w:r>
        <w:rPr>
          <w:rFonts w:ascii="仿宋" w:hAnsi="仿宋" w:eastAsia="仿宋" w:cs="仿宋"/>
          <w:kern w:val="0"/>
          <w:sz w:val="32"/>
          <w:szCs w:val="32"/>
        </w:rPr>
        <w:t>2.项目支出2,276.37万元。</w:t>
      </w:r>
    </w:p>
    <w:p>
      <w:pPr>
        <w:pStyle w:val="31"/>
        <w:widowControl/>
        <w:spacing w:before="100" w:after="100" w:line="600" w:lineRule="atLeast"/>
        <w:ind w:left="716"/>
        <w:jc w:val="left"/>
        <w:rPr>
          <w:rFonts w:eastAsia="Times New Roman"/>
          <w:kern w:val="0"/>
          <w:sz w:val="24"/>
        </w:rPr>
      </w:pPr>
      <w:r>
        <w:rPr>
          <w:rFonts w:ascii="仿宋" w:hAnsi="仿宋" w:eastAsia="仿宋" w:cs="仿宋"/>
          <w:kern w:val="0"/>
          <w:sz w:val="32"/>
          <w:szCs w:val="32"/>
        </w:rPr>
        <w:t>3.上缴上级支出0.00万元。</w:t>
      </w:r>
    </w:p>
    <w:p>
      <w:pPr>
        <w:pStyle w:val="31"/>
        <w:widowControl/>
        <w:spacing w:before="100" w:after="100" w:line="600" w:lineRule="atLeast"/>
        <w:ind w:left="716"/>
        <w:jc w:val="left"/>
        <w:rPr>
          <w:rFonts w:eastAsia="Times New Roman"/>
          <w:kern w:val="0"/>
          <w:sz w:val="24"/>
        </w:rPr>
      </w:pPr>
      <w:r>
        <w:rPr>
          <w:rFonts w:ascii="仿宋" w:hAnsi="仿宋" w:eastAsia="仿宋" w:cs="仿宋"/>
          <w:kern w:val="0"/>
          <w:sz w:val="32"/>
          <w:szCs w:val="32"/>
        </w:rPr>
        <w:t>4.经营支出0.00万元。</w:t>
      </w:r>
    </w:p>
    <w:p>
      <w:pPr>
        <w:pStyle w:val="31"/>
        <w:widowControl/>
        <w:spacing w:before="100" w:after="100" w:line="600" w:lineRule="atLeast"/>
        <w:ind w:left="716"/>
        <w:jc w:val="left"/>
        <w:rPr>
          <w:rFonts w:eastAsia="Times New Roman"/>
          <w:kern w:val="0"/>
          <w:sz w:val="24"/>
        </w:rPr>
      </w:pPr>
      <w:r>
        <w:rPr>
          <w:rFonts w:ascii="仿宋" w:hAnsi="仿宋" w:eastAsia="仿宋" w:cs="仿宋"/>
          <w:kern w:val="0"/>
          <w:sz w:val="32"/>
          <w:szCs w:val="32"/>
        </w:rPr>
        <w:t>5.对附属单位补助支出0.00万元。</w:t>
      </w:r>
    </w:p>
    <w:p>
      <w:pPr>
        <w:pStyle w:val="31"/>
        <w:widowControl/>
        <w:spacing w:before="100" w:after="100"/>
        <w:ind w:firstLine="480"/>
        <w:jc w:val="left"/>
        <w:rPr>
          <w:rFonts w:eastAsia="Times New Roman"/>
          <w:kern w:val="0"/>
          <w:sz w:val="24"/>
        </w:rPr>
      </w:pPr>
      <w:r>
        <w:rPr>
          <w:rFonts w:ascii="黑体" w:hAnsi="黑体" w:eastAsia="黑体" w:cs="黑体"/>
          <w:kern w:val="0"/>
          <w:sz w:val="32"/>
          <w:szCs w:val="32"/>
        </w:rPr>
        <w:t>二、财政拨款收入支出决算总体情况说明</w:t>
      </w:r>
    </w:p>
    <w:p>
      <w:pPr>
        <w:widowControl/>
        <w:spacing w:before="240" w:after="240"/>
        <w:ind w:firstLine="640" w:firstLineChars="200"/>
        <w:jc w:val="left"/>
        <w:rPr>
          <w:rFonts w:ascii="仿宋" w:hAnsi="仿宋" w:eastAsia="仿宋"/>
          <w:kern w:val="0"/>
          <w:sz w:val="32"/>
          <w:szCs w:val="32"/>
        </w:rPr>
      </w:pPr>
      <w:r>
        <w:rPr>
          <w:rFonts w:ascii="仿宋" w:hAnsi="仿宋" w:eastAsia="仿宋" w:cs="仿宋"/>
          <w:kern w:val="0"/>
          <w:sz w:val="32"/>
          <w:szCs w:val="32"/>
        </w:rPr>
        <w:t>2023年度财政拨款收入总计3,191.55万元，支出总计3,191.55万元，与上年决算数相比，各减少6,007.37万元，下降65.31%，主要是：</w:t>
      </w:r>
      <w:r>
        <w:rPr>
          <w:rFonts w:hint="eastAsia" w:ascii="仿宋" w:hAnsi="仿宋" w:eastAsia="仿宋"/>
          <w:kern w:val="0"/>
          <w:sz w:val="32"/>
          <w:szCs w:val="32"/>
        </w:rPr>
        <w:t>一般公共预算财政拨款收入减少了249.13万元，政府性基金预算财政拨款收入减少了5758.24万元</w:t>
      </w:r>
      <w:r>
        <w:rPr>
          <w:rFonts w:ascii="仿宋" w:hAnsi="仿宋" w:eastAsia="仿宋"/>
          <w:kern w:val="0"/>
          <w:sz w:val="32"/>
          <w:szCs w:val="32"/>
        </w:rPr>
        <w:t>。</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三、一般公共预算财政拨款支出决算情况说明</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2023年一般公共预算支出1,746.07万元，比上年决算数减少249.13万元，下降12.49%，具体情况如下(按项级科目分类统计)：</w:t>
      </w:r>
    </w:p>
    <w:p>
      <w:pPr>
        <w:widowControl/>
        <w:spacing w:before="240" w:after="240"/>
        <w:jc w:val="left"/>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一</w:t>
      </w:r>
      <w:r>
        <w:rPr>
          <w:rFonts w:ascii="仿宋" w:hAnsi="仿宋" w:eastAsia="仿宋"/>
          <w:kern w:val="0"/>
          <w:sz w:val="32"/>
          <w:szCs w:val="32"/>
        </w:rPr>
        <w:t>）</w:t>
      </w:r>
      <w:r>
        <w:rPr>
          <w:rFonts w:hint="eastAsia" w:ascii="仿宋" w:hAnsi="仿宋" w:eastAsia="仿宋"/>
          <w:kern w:val="0"/>
          <w:sz w:val="32"/>
          <w:szCs w:val="32"/>
        </w:rPr>
        <w:t>2010301-行政运行238.06万元，较上年决算数减少622.28万元。主要原因是有些费用分摊在其他科目列入。</w:t>
      </w:r>
    </w:p>
    <w:p>
      <w:pPr>
        <w:widowControl/>
        <w:spacing w:before="240" w:after="240"/>
        <w:jc w:val="left"/>
        <w:rPr>
          <w:rFonts w:ascii="仿宋" w:hAnsi="仿宋" w:eastAsia="仿宋"/>
          <w:kern w:val="0"/>
          <w:sz w:val="32"/>
          <w:szCs w:val="32"/>
        </w:rPr>
      </w:pPr>
      <w:r>
        <w:rPr>
          <w:rFonts w:ascii="仿宋" w:hAnsi="仿宋" w:eastAsia="仿宋"/>
          <w:kern w:val="0"/>
          <w:sz w:val="32"/>
          <w:szCs w:val="32"/>
        </w:rPr>
        <w:t>（二）</w:t>
      </w:r>
      <w:r>
        <w:rPr>
          <w:rFonts w:hint="eastAsia" w:ascii="仿宋" w:hAnsi="仿宋" w:eastAsia="仿宋"/>
          <w:kern w:val="0"/>
          <w:sz w:val="32"/>
          <w:szCs w:val="32"/>
        </w:rPr>
        <w:t>2013199-其他党委办公厅（室）及相关机构事务支出6.43万元，较上年决算数减少1.17万元。主要原因是</w:t>
      </w:r>
      <w:r>
        <w:rPr>
          <w:rFonts w:hint="eastAsia" w:ascii="仿宋" w:hAnsi="仿宋" w:eastAsia="仿宋"/>
          <w:sz w:val="32"/>
          <w:szCs w:val="32"/>
        </w:rPr>
        <w:t>严重精神障碍患者以奖代补资金减少。</w:t>
      </w:r>
    </w:p>
    <w:p>
      <w:pPr>
        <w:widowControl/>
        <w:spacing w:before="240" w:after="240"/>
        <w:jc w:val="left"/>
        <w:rPr>
          <w:rFonts w:ascii="仿宋" w:hAnsi="仿宋" w:eastAsia="仿宋"/>
          <w:kern w:val="0"/>
          <w:sz w:val="32"/>
          <w:szCs w:val="32"/>
        </w:rPr>
      </w:pPr>
      <w:r>
        <w:rPr>
          <w:rFonts w:ascii="仿宋" w:hAnsi="仿宋" w:eastAsia="仿宋"/>
          <w:kern w:val="0"/>
          <w:sz w:val="32"/>
          <w:szCs w:val="32"/>
        </w:rPr>
        <w:t>（三）</w:t>
      </w:r>
      <w:r>
        <w:rPr>
          <w:rFonts w:hint="eastAsia" w:ascii="仿宋" w:hAnsi="仿宋" w:eastAsia="仿宋"/>
          <w:kern w:val="0"/>
          <w:sz w:val="32"/>
          <w:szCs w:val="32"/>
        </w:rPr>
        <w:t>2080208-基层政权建设和社区治理18万元，较上年决算数减少189.35万元。主要原因是项目减少。</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（四）2080501-行政单位离退休27.74万元，较上年决算数增加27.74万元。主要原因是项目新增。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（五）2080505-机关事业单位基本养老保险缴费支出58.39万元，较上年决算数增加58.39万元。主要原因是项目新增。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（六）2080801-死亡抚恤42.23万元，较上年决算数增加42.23万元。主要原因是死亡抚恤人数新增。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（七）2082799-其他财政对社会保险基金的补助1.7万元，较上年决算数增加1.7万元。主要原因是项目新增。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（八）2089999-其他社会保障和就业支出2.59万元，较上年决算数减少0.77万元。主要原因是人员减少。</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（九）2101101-行政单位医疗38.97万元，较上年决算数增加38.97万元。主要原因是项目新增。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（十）2120501-城乡社区环境卫生8.28万元，较上年决算数减少0.36万元。主要原因是项目减少。</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（十一）2129999-其他城乡社区支出212.68万元，较上年决算数增加212.68万元。主要原因是项目新增。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（十二）2130104-事业运行424.85万元，较上年决算数增加424.85万元。主要原因是项目新增。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（十三）2130199-其他农业农村支出83.48万元，较上年决算数减少180.86万元。主要原因是项目减少。</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（十四）2130705-对村民委员会和村党支部的补助34.02万元，较上年决算数减少30.41万元。主要原因是项目减少。</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（十五）2210201-住房公积金80.66万元，较上年决算数增加80.66万元。主要原因是项目新增。</w:t>
      </w:r>
    </w:p>
    <w:p>
      <w:pPr>
        <w:widowControl/>
        <w:spacing w:before="240" w:after="240"/>
        <w:jc w:val="left"/>
        <w:rPr>
          <w:rFonts w:ascii="仿宋" w:hAnsi="仿宋" w:eastAsia="仿宋"/>
          <w:kern w:val="0"/>
          <w:sz w:val="32"/>
          <w:szCs w:val="32"/>
        </w:rPr>
      </w:pPr>
      <w:r>
        <w:rPr>
          <w:rFonts w:hint="eastAsia" w:ascii="仿宋" w:hAnsi="仿宋" w:eastAsia="仿宋"/>
          <w:kern w:val="0"/>
          <w:sz w:val="32"/>
          <w:szCs w:val="32"/>
        </w:rPr>
        <w:t>（十六）2240601-地质灾害防治468万元，较上年决算数增加468万元。主要原因是项目新增。</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四、政府性基金预算财政拨款支出决算情况说明</w:t>
      </w:r>
    </w:p>
    <w:p>
      <w:pPr>
        <w:pStyle w:val="31"/>
        <w:widowControl/>
        <w:spacing w:before="100" w:after="100" w:line="600" w:lineRule="atLeast"/>
        <w:ind w:firstLine="704"/>
        <w:jc w:val="left"/>
        <w:rPr>
          <w:rFonts w:eastAsia="Times New Roman"/>
          <w:kern w:val="0"/>
          <w:sz w:val="24"/>
        </w:rPr>
      </w:pPr>
      <w:r>
        <w:rPr>
          <w:rFonts w:ascii="仿宋" w:hAnsi="仿宋" w:eastAsia="仿宋" w:cs="仿宋"/>
          <w:kern w:val="0"/>
          <w:sz w:val="32"/>
          <w:szCs w:val="32"/>
        </w:rPr>
        <w:t>2023年度政府性基金支出1,445.48万元，比上年决算数减少5,758.24万元，下降79.93%，具体情况如下(按项级科目统计)：</w:t>
      </w:r>
    </w:p>
    <w:p>
      <w:pPr>
        <w:widowControl/>
        <w:spacing w:before="240" w:after="240"/>
        <w:jc w:val="left"/>
        <w:rPr>
          <w:rFonts w:ascii="仿宋" w:hAnsi="仿宋" w:eastAsia="仿宋"/>
          <w:kern w:val="0"/>
          <w:sz w:val="32"/>
          <w:szCs w:val="32"/>
        </w:rPr>
      </w:pPr>
      <w:r>
        <w:rPr>
          <w:rFonts w:ascii="仿宋" w:hAnsi="仿宋" w:eastAsia="仿宋"/>
          <w:kern w:val="0"/>
          <w:sz w:val="32"/>
          <w:szCs w:val="32"/>
        </w:rPr>
        <w:t>（一）</w:t>
      </w:r>
      <w:r>
        <w:rPr>
          <w:rFonts w:hint="eastAsia" w:ascii="仿宋" w:hAnsi="仿宋" w:eastAsia="仿宋"/>
          <w:kern w:val="0"/>
          <w:sz w:val="32"/>
          <w:szCs w:val="32"/>
        </w:rPr>
        <w:t>2120801-征地和拆迁补偿支出1400万元，较上年决算数减少5120万元，下降78.53%。主要原因是项目减少。</w:t>
      </w:r>
    </w:p>
    <w:p>
      <w:pPr>
        <w:widowControl/>
        <w:spacing w:before="240" w:after="240"/>
        <w:jc w:val="left"/>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二</w:t>
      </w:r>
      <w:r>
        <w:rPr>
          <w:rFonts w:ascii="仿宋" w:hAnsi="仿宋" w:eastAsia="仿宋"/>
          <w:kern w:val="0"/>
          <w:sz w:val="32"/>
          <w:szCs w:val="32"/>
        </w:rPr>
        <w:t>）</w:t>
      </w:r>
      <w:r>
        <w:rPr>
          <w:rFonts w:hint="eastAsia" w:ascii="仿宋" w:hAnsi="仿宋" w:eastAsia="仿宋"/>
          <w:kern w:val="0"/>
          <w:sz w:val="32"/>
          <w:szCs w:val="32"/>
        </w:rPr>
        <w:t>2120814-农业生产发展支出45.48万元，较上年决算数增加45.48万元，增长100%。主要原因是项目新增。</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五、国有资本经营预算财政拨款支出决算情况说明</w:t>
      </w:r>
    </w:p>
    <w:p>
      <w:pPr>
        <w:pStyle w:val="31"/>
        <w:widowControl/>
        <w:spacing w:before="100" w:after="100" w:line="600" w:lineRule="atLeast"/>
        <w:ind w:firstLine="640"/>
        <w:jc w:val="left"/>
        <w:rPr>
          <w:rFonts w:eastAsia="Times New Roman"/>
          <w:kern w:val="0"/>
          <w:sz w:val="24"/>
        </w:rPr>
      </w:pPr>
      <w:r>
        <w:rPr>
          <w:rFonts w:ascii="楷体" w:hAnsi="楷体" w:eastAsia="楷体" w:cs="楷体"/>
          <w:kern w:val="0"/>
          <w:sz w:val="32"/>
          <w:szCs w:val="32"/>
        </w:rPr>
        <w:t>本部门2023年度没有使用国有资本经营预算财政拨款安排的支出。</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六、一般公共预算财政拨款基本支出决算情况说明</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2023年度一般公共预算财政拨款基本支出915.18万元，其中：</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一）人员经费895.72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31"/>
        <w:widowControl/>
        <w:spacing w:before="100" w:after="100"/>
        <w:ind w:firstLine="640"/>
        <w:jc w:val="left"/>
        <w:rPr>
          <w:rFonts w:eastAsia="Times New Roman"/>
          <w:kern w:val="0"/>
          <w:sz w:val="24"/>
        </w:rPr>
      </w:pPr>
      <w:r>
        <w:rPr>
          <w:rFonts w:ascii="仿宋" w:hAnsi="仿宋" w:eastAsia="仿宋" w:cs="仿宋"/>
          <w:kern w:val="0"/>
          <w:sz w:val="32"/>
          <w:szCs w:val="32"/>
        </w:rPr>
        <w:t>（二）公用经费19.46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七、一般公共预算拨款“三公”经费支出决算情况说明</w:t>
      </w:r>
    </w:p>
    <w:p>
      <w:pPr>
        <w:widowControl/>
        <w:spacing w:before="240" w:after="240"/>
        <w:ind w:firstLine="640" w:firstLineChars="200"/>
        <w:jc w:val="left"/>
        <w:rPr>
          <w:rFonts w:ascii="仿宋" w:hAnsi="仿宋" w:eastAsia="仿宋"/>
          <w:kern w:val="0"/>
          <w:sz w:val="32"/>
          <w:szCs w:val="32"/>
        </w:rPr>
      </w:pPr>
      <w:r>
        <w:rPr>
          <w:rFonts w:ascii="仿宋" w:hAnsi="仿宋" w:eastAsia="仿宋" w:cs="仿宋"/>
          <w:kern w:val="0"/>
          <w:sz w:val="32"/>
          <w:szCs w:val="32"/>
        </w:rPr>
        <w:t>2023年度一般公共预算拨款“三公”经费支出9.58万元，完成全年预算的 100.00%；较上年减少0.72万元，降低6.99%。主要原因是</w:t>
      </w:r>
      <w:r>
        <w:rPr>
          <w:rFonts w:hint="eastAsia" w:ascii="仿宋" w:hAnsi="仿宋" w:eastAsia="仿宋"/>
          <w:kern w:val="0"/>
          <w:sz w:val="32"/>
          <w:szCs w:val="32"/>
        </w:rPr>
        <w:t>公务用车运行费减少1.93万元，公务接待费支出增加1.21万元</w:t>
      </w:r>
      <w:r>
        <w:rPr>
          <w:rFonts w:ascii="仿宋" w:hAnsi="仿宋" w:eastAsia="仿宋"/>
          <w:kern w:val="0"/>
          <w:sz w:val="32"/>
          <w:szCs w:val="32"/>
        </w:rPr>
        <w:t>。具体情况如下：</w:t>
      </w:r>
      <w:r>
        <w:rPr>
          <w:rFonts w:ascii="仿宋" w:hAnsi="仿宋" w:eastAsia="仿宋"/>
          <w:kern w:val="0"/>
          <w:sz w:val="32"/>
          <w:szCs w:val="32"/>
        </w:rPr>
        <w:br w:type="textWrapping"/>
      </w:r>
      <w:r>
        <w:rPr>
          <w:rFonts w:hint="eastAsia" w:ascii="仿宋" w:hAnsi="仿宋" w:eastAsia="仿宋" w:cs="仿宋"/>
          <w:kern w:val="0"/>
          <w:sz w:val="32"/>
          <w:szCs w:val="32"/>
        </w:rPr>
        <w:t xml:space="preserve">    </w:t>
      </w:r>
      <w:r>
        <w:rPr>
          <w:rFonts w:ascii="仿宋" w:hAnsi="仿宋" w:eastAsia="仿宋" w:cs="仿宋"/>
          <w:kern w:val="0"/>
          <w:sz w:val="32"/>
          <w:szCs w:val="32"/>
        </w:rPr>
        <w:t>（一）</w:t>
      </w:r>
      <w:r>
        <w:rPr>
          <w:rFonts w:ascii="仿宋" w:hAnsi="仿宋" w:eastAsia="仿宋"/>
          <w:kern w:val="0"/>
          <w:sz w:val="32"/>
          <w:szCs w:val="32"/>
        </w:rPr>
        <w:t>因公出国（境）费支出</w:t>
      </w:r>
      <w:r>
        <w:rPr>
          <w:rFonts w:hint="eastAsia" w:ascii="仿宋" w:hAnsi="仿宋" w:eastAsia="仿宋"/>
          <w:kern w:val="0"/>
          <w:sz w:val="32"/>
          <w:szCs w:val="32"/>
        </w:rPr>
        <w:t>0</w:t>
      </w:r>
      <w:r>
        <w:rPr>
          <w:rFonts w:ascii="仿宋" w:hAnsi="仿宋" w:eastAsia="仿宋"/>
          <w:kern w:val="0"/>
          <w:sz w:val="32"/>
          <w:szCs w:val="32"/>
        </w:rPr>
        <w:t>万元，</w:t>
      </w:r>
      <w:r>
        <w:rPr>
          <w:rFonts w:hint="eastAsia" w:ascii="仿宋" w:hAnsi="仿宋" w:eastAsia="仿宋"/>
          <w:kern w:val="0"/>
          <w:sz w:val="32"/>
          <w:szCs w:val="32"/>
        </w:rPr>
        <w:t>与上年决算持平</w:t>
      </w:r>
      <w:r>
        <w:rPr>
          <w:rFonts w:ascii="仿宋" w:hAnsi="仿宋" w:eastAsia="仿宋"/>
          <w:kern w:val="0"/>
          <w:sz w:val="32"/>
          <w:szCs w:val="32"/>
        </w:rPr>
        <w:t>。全年安排本部门组织的出国团组</w:t>
      </w:r>
      <w:r>
        <w:rPr>
          <w:rFonts w:hint="eastAsia" w:ascii="仿宋" w:hAnsi="仿宋" w:eastAsia="仿宋"/>
          <w:kern w:val="0"/>
          <w:sz w:val="32"/>
          <w:szCs w:val="32"/>
        </w:rPr>
        <w:t>0</w:t>
      </w:r>
      <w:r>
        <w:rPr>
          <w:rFonts w:ascii="仿宋" w:hAnsi="仿宋" w:eastAsia="仿宋"/>
          <w:kern w:val="0"/>
          <w:sz w:val="32"/>
          <w:szCs w:val="32"/>
        </w:rPr>
        <w:t>个，参加其他部门出国团组</w:t>
      </w:r>
      <w:r>
        <w:rPr>
          <w:rFonts w:hint="eastAsia" w:ascii="仿宋" w:hAnsi="仿宋" w:eastAsia="仿宋"/>
          <w:kern w:val="0"/>
          <w:sz w:val="32"/>
          <w:szCs w:val="32"/>
        </w:rPr>
        <w:t>0</w:t>
      </w:r>
      <w:r>
        <w:rPr>
          <w:rFonts w:ascii="仿宋" w:hAnsi="仿宋" w:eastAsia="仿宋"/>
          <w:kern w:val="0"/>
          <w:sz w:val="32"/>
          <w:szCs w:val="32"/>
        </w:rPr>
        <w:t>个；全年因公出国（境）累计</w:t>
      </w:r>
      <w:r>
        <w:rPr>
          <w:rFonts w:hint="eastAsia" w:ascii="仿宋" w:hAnsi="仿宋" w:eastAsia="仿宋"/>
          <w:kern w:val="0"/>
          <w:sz w:val="32"/>
          <w:szCs w:val="32"/>
        </w:rPr>
        <w:t>0</w:t>
      </w:r>
      <w:r>
        <w:rPr>
          <w:rFonts w:ascii="仿宋" w:hAnsi="仿宋" w:eastAsia="仿宋"/>
          <w:kern w:val="0"/>
          <w:sz w:val="32"/>
          <w:szCs w:val="32"/>
        </w:rPr>
        <w:t>人次。主要是</w:t>
      </w:r>
      <w:r>
        <w:rPr>
          <w:rFonts w:hint="eastAsia" w:ascii="仿宋" w:hAnsi="仿宋" w:eastAsia="仿宋"/>
          <w:kern w:val="0"/>
          <w:sz w:val="32"/>
          <w:szCs w:val="32"/>
        </w:rPr>
        <w:t>本单位未发生因公出国境业务。</w:t>
      </w:r>
    </w:p>
    <w:p>
      <w:pPr>
        <w:pStyle w:val="31"/>
        <w:widowControl/>
        <w:spacing w:before="100" w:after="100" w:line="600" w:lineRule="atLeast"/>
        <w:ind w:firstLine="704"/>
        <w:jc w:val="left"/>
        <w:rPr>
          <w:rFonts w:eastAsia="Times New Roman"/>
          <w:kern w:val="0"/>
          <w:sz w:val="24"/>
        </w:rPr>
      </w:pPr>
      <w:r>
        <w:rPr>
          <w:rFonts w:ascii="仿宋" w:hAnsi="仿宋" w:eastAsia="仿宋" w:cs="仿宋"/>
          <w:kern w:val="0"/>
          <w:sz w:val="32"/>
          <w:szCs w:val="32"/>
        </w:rPr>
        <w:t>（二）公务用车购置及运行费支出5.20万元，完成全年预算的100.00%；较上年减少1.93万元，降低27.07%。其中：</w:t>
      </w:r>
    </w:p>
    <w:p>
      <w:pPr>
        <w:pStyle w:val="31"/>
        <w:widowControl/>
        <w:spacing w:before="100" w:after="100" w:line="600" w:lineRule="atLeast"/>
        <w:ind w:firstLine="645"/>
        <w:jc w:val="left"/>
        <w:rPr>
          <w:rFonts w:ascii="仿宋" w:hAnsi="仿宋" w:eastAsia="仿宋"/>
          <w:sz w:val="32"/>
          <w:szCs w:val="32"/>
        </w:rPr>
      </w:pPr>
      <w:r>
        <w:rPr>
          <w:rFonts w:ascii="仿宋" w:hAnsi="仿宋" w:eastAsia="仿宋" w:cs="仿宋"/>
          <w:kern w:val="0"/>
          <w:sz w:val="32"/>
          <w:szCs w:val="32"/>
        </w:rPr>
        <w:t>公务用车购置费支出0.00万元，</w:t>
      </w:r>
      <w:r>
        <w:rPr>
          <w:rFonts w:ascii="仿宋" w:hAnsi="仿宋" w:eastAsia="仿宋"/>
          <w:kern w:val="0"/>
          <w:sz w:val="32"/>
          <w:szCs w:val="32"/>
        </w:rPr>
        <w:t>与上年</w:t>
      </w:r>
      <w:r>
        <w:rPr>
          <w:rFonts w:hint="eastAsia" w:ascii="仿宋" w:hAnsi="仿宋" w:eastAsia="仿宋"/>
          <w:kern w:val="0"/>
          <w:sz w:val="32"/>
          <w:szCs w:val="32"/>
        </w:rPr>
        <w:t>决算持平</w:t>
      </w:r>
      <w:r>
        <w:rPr>
          <w:rFonts w:ascii="仿宋" w:hAnsi="仿宋" w:eastAsia="仿宋"/>
          <w:kern w:val="0"/>
          <w:sz w:val="32"/>
          <w:szCs w:val="32"/>
        </w:rPr>
        <w:t>。</w:t>
      </w:r>
      <w:r>
        <w:rPr>
          <w:rFonts w:ascii="仿宋" w:hAnsi="仿宋" w:eastAsia="仿宋"/>
          <w:sz w:val="32"/>
          <w:szCs w:val="32"/>
        </w:rPr>
        <w:t>主要是本单位无公务用车辆购置计划。</w:t>
      </w:r>
    </w:p>
    <w:p>
      <w:pPr>
        <w:pStyle w:val="31"/>
        <w:widowControl/>
        <w:spacing w:before="100" w:after="100" w:line="600" w:lineRule="atLeast"/>
        <w:ind w:firstLine="645"/>
        <w:jc w:val="left"/>
        <w:rPr>
          <w:rFonts w:eastAsia="Times New Roman"/>
          <w:kern w:val="0"/>
          <w:sz w:val="24"/>
        </w:rPr>
      </w:pPr>
      <w:r>
        <w:rPr>
          <w:rFonts w:ascii="仿宋" w:hAnsi="仿宋" w:eastAsia="仿宋" w:cs="仿宋"/>
          <w:kern w:val="0"/>
          <w:sz w:val="32"/>
          <w:szCs w:val="32"/>
        </w:rPr>
        <w:t>公务用车运行费支出5.20万元，完成全年预算的100.00%；较上年减少1.93万元，降低27.07%。主要是</w:t>
      </w:r>
      <w:r>
        <w:rPr>
          <w:rFonts w:ascii="仿宋" w:hAnsi="仿宋" w:eastAsia="仿宋"/>
          <w:sz w:val="32"/>
          <w:szCs w:val="32"/>
        </w:rPr>
        <w:t>公务用车实行公车改造，平台统一用车</w:t>
      </w:r>
      <w:r>
        <w:rPr>
          <w:rFonts w:hint="eastAsia" w:ascii="仿宋" w:hAnsi="仿宋" w:eastAsia="仿宋" w:cs="仿宋_GB2312"/>
          <w:sz w:val="32"/>
          <w:szCs w:val="32"/>
        </w:rPr>
        <w:t>。</w:t>
      </w:r>
      <w:r>
        <w:rPr>
          <w:rFonts w:ascii="仿宋" w:hAnsi="仿宋" w:eastAsia="仿宋" w:cs="仿宋"/>
          <w:kern w:val="0"/>
          <w:sz w:val="32"/>
          <w:szCs w:val="32"/>
        </w:rPr>
        <w:t>截至2023年12月31日，本部门公务用车保有量为3辆。</w:t>
      </w:r>
    </w:p>
    <w:p>
      <w:pPr>
        <w:pStyle w:val="31"/>
        <w:widowControl/>
        <w:spacing w:before="100" w:after="100" w:line="600" w:lineRule="atLeast"/>
        <w:ind w:firstLine="645"/>
        <w:jc w:val="left"/>
        <w:rPr>
          <w:rFonts w:eastAsia="Times New Roman"/>
          <w:kern w:val="0"/>
          <w:sz w:val="24"/>
        </w:rPr>
      </w:pPr>
      <w:r>
        <w:rPr>
          <w:rFonts w:ascii="仿宋" w:hAnsi="仿宋" w:eastAsia="仿宋" w:cs="仿宋"/>
          <w:kern w:val="0"/>
          <w:sz w:val="32"/>
          <w:szCs w:val="32"/>
        </w:rPr>
        <w:t>（三）公务接待费支出4.38万元，完成全年预算的 100.00%；较上年增加1.21万元，增长38.17%。主要是</w:t>
      </w:r>
      <w:r>
        <w:rPr>
          <w:rFonts w:hint="eastAsia" w:ascii="仿宋" w:hAnsi="仿宋" w:eastAsia="仿宋"/>
          <w:kern w:val="0"/>
          <w:sz w:val="32"/>
          <w:szCs w:val="32"/>
        </w:rPr>
        <w:t>企业项目对接、三元区社区来尤调研等增加费用</w:t>
      </w:r>
      <w:r>
        <w:rPr>
          <w:rFonts w:ascii="仿宋" w:hAnsi="仿宋" w:eastAsia="仿宋"/>
          <w:kern w:val="0"/>
          <w:sz w:val="32"/>
          <w:szCs w:val="32"/>
        </w:rPr>
        <w:t>。</w:t>
      </w:r>
      <w:r>
        <w:rPr>
          <w:rFonts w:ascii="仿宋" w:hAnsi="仿宋" w:eastAsia="仿宋" w:cs="仿宋"/>
          <w:kern w:val="0"/>
          <w:sz w:val="32"/>
          <w:szCs w:val="32"/>
        </w:rPr>
        <w:t>累计接待72批次、410人次。</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八、预算绩效情况说明</w:t>
      </w:r>
    </w:p>
    <w:p>
      <w:pPr>
        <w:pStyle w:val="31"/>
        <w:widowControl/>
        <w:spacing w:before="100" w:after="100" w:line="600" w:lineRule="atLeast"/>
        <w:ind w:firstLine="640"/>
        <w:jc w:val="left"/>
        <w:rPr>
          <w:rFonts w:eastAsia="Times New Roman"/>
          <w:kern w:val="0"/>
          <w:sz w:val="24"/>
        </w:rPr>
      </w:pPr>
      <w:r>
        <w:rPr>
          <w:rFonts w:hint="eastAsia" w:ascii="楷体" w:hAnsi="楷体" w:eastAsia="楷体" w:cs="楷体"/>
          <w:kern w:val="0"/>
          <w:sz w:val="32"/>
          <w:szCs w:val="32"/>
        </w:rPr>
        <w:t>2023</w:t>
      </w:r>
      <w:r>
        <w:rPr>
          <w:rFonts w:ascii="楷体" w:hAnsi="楷体" w:eastAsia="楷体" w:cs="楷体"/>
          <w:kern w:val="0"/>
          <w:sz w:val="32"/>
          <w:szCs w:val="32"/>
        </w:rPr>
        <w:t>年度本部门无单位自评项目。</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九、其他重要事项说明</w:t>
      </w:r>
    </w:p>
    <w:p>
      <w:pPr>
        <w:pStyle w:val="31"/>
        <w:widowControl/>
        <w:spacing w:before="100" w:after="100" w:line="600" w:lineRule="atLeast"/>
        <w:ind w:firstLine="643"/>
        <w:jc w:val="left"/>
        <w:rPr>
          <w:rFonts w:eastAsia="Times New Roman"/>
          <w:kern w:val="0"/>
          <w:sz w:val="24"/>
        </w:rPr>
      </w:pPr>
      <w:r>
        <w:rPr>
          <w:rFonts w:ascii="楷体" w:hAnsi="楷体" w:eastAsia="楷体" w:cs="楷体"/>
          <w:kern w:val="0"/>
          <w:sz w:val="32"/>
          <w:szCs w:val="32"/>
        </w:rPr>
        <w:t>（一）机关运行经费</w:t>
      </w:r>
      <w:r>
        <w:rPr>
          <w:rFonts w:ascii="宋体" w:hAnsi="宋体" w:cs="宋体"/>
          <w:kern w:val="0"/>
          <w:sz w:val="32"/>
          <w:szCs w:val="32"/>
        </w:rPr>
        <w:t> </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2023年度机关运行经费支出19.46万元，比上年决算数减少-37.94万元，降低66.09%，主要原因是:</w:t>
      </w:r>
      <w:r>
        <w:rPr>
          <w:rFonts w:ascii="仿宋" w:hAnsi="仿宋" w:eastAsia="仿宋"/>
          <w:kern w:val="0"/>
          <w:sz w:val="32"/>
          <w:szCs w:val="32"/>
        </w:rPr>
        <w:t xml:space="preserve"> 办公设施设备购置经费减少。</w:t>
      </w:r>
    </w:p>
    <w:p>
      <w:pPr>
        <w:pStyle w:val="31"/>
        <w:widowControl/>
        <w:spacing w:before="100" w:after="100" w:line="600" w:lineRule="atLeast"/>
        <w:ind w:firstLine="643"/>
        <w:jc w:val="left"/>
        <w:rPr>
          <w:rFonts w:eastAsia="Times New Roman"/>
          <w:kern w:val="0"/>
          <w:sz w:val="24"/>
        </w:rPr>
      </w:pPr>
      <w:r>
        <w:rPr>
          <w:rFonts w:ascii="楷体" w:hAnsi="楷体" w:eastAsia="楷体" w:cs="楷体"/>
          <w:kern w:val="0"/>
          <w:sz w:val="32"/>
          <w:szCs w:val="32"/>
        </w:rPr>
        <w:t>（二）政府采购情况</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本部门2023年度政府采购支出总额12.50万元，其中：政府采购货物支出12.50万元、政府采购工程支出0.00万元、政府采购服务支出0.00万元。授予中小企业合同金额12.50万元，占政府采购支出总额的100.00%，其中：授予小微企业合同金额12.50万元，占授予中小企业合同金额的100.00%；货物采购授予中小企业合同金额占货物支出金额的</w:t>
      </w:r>
      <w:r>
        <w:rPr>
          <w:rFonts w:hint="eastAsia" w:ascii="仿宋" w:hAnsi="仿宋" w:eastAsia="仿宋" w:cs="仿宋"/>
          <w:kern w:val="0"/>
          <w:sz w:val="32"/>
          <w:szCs w:val="32"/>
        </w:rPr>
        <w:t>100.00</w:t>
      </w:r>
      <w:r>
        <w:rPr>
          <w:rFonts w:ascii="仿宋" w:hAnsi="仿宋" w:eastAsia="仿宋" w:cs="仿宋"/>
          <w:kern w:val="0"/>
          <w:sz w:val="32"/>
          <w:szCs w:val="32"/>
        </w:rPr>
        <w:t>%，工程采购授予中小企业合同金额占工程支出金额的</w:t>
      </w:r>
      <w:r>
        <w:rPr>
          <w:rFonts w:hint="eastAsia" w:ascii="仿宋" w:hAnsi="仿宋" w:eastAsia="仿宋" w:cs="仿宋"/>
          <w:kern w:val="0"/>
          <w:sz w:val="32"/>
          <w:szCs w:val="32"/>
        </w:rPr>
        <w:t>0</w:t>
      </w:r>
      <w:r>
        <w:rPr>
          <w:rFonts w:ascii="仿宋" w:hAnsi="仿宋" w:eastAsia="仿宋" w:cs="仿宋"/>
          <w:kern w:val="0"/>
          <w:sz w:val="32"/>
          <w:szCs w:val="32"/>
        </w:rPr>
        <w:t>%，服务采购授予中小企业合同金额占服务支出金额的</w:t>
      </w:r>
      <w:r>
        <w:rPr>
          <w:rFonts w:hint="eastAsia" w:ascii="仿宋" w:hAnsi="仿宋" w:eastAsia="仿宋" w:cs="仿宋"/>
          <w:kern w:val="0"/>
          <w:sz w:val="32"/>
          <w:szCs w:val="32"/>
        </w:rPr>
        <w:t>0</w:t>
      </w:r>
      <w:r>
        <w:rPr>
          <w:rFonts w:ascii="仿宋" w:hAnsi="仿宋" w:eastAsia="仿宋" w:cs="仿宋"/>
          <w:kern w:val="0"/>
          <w:sz w:val="32"/>
          <w:szCs w:val="32"/>
        </w:rPr>
        <w:t>%。</w:t>
      </w:r>
    </w:p>
    <w:p>
      <w:pPr>
        <w:pStyle w:val="31"/>
        <w:widowControl/>
        <w:spacing w:before="100" w:after="100" w:line="600" w:lineRule="atLeast"/>
        <w:ind w:firstLine="707"/>
        <w:jc w:val="left"/>
        <w:rPr>
          <w:rFonts w:eastAsia="Times New Roman"/>
          <w:kern w:val="0"/>
          <w:sz w:val="24"/>
        </w:rPr>
      </w:pPr>
      <w:r>
        <w:rPr>
          <w:rFonts w:ascii="楷体" w:hAnsi="楷体" w:eastAsia="楷体" w:cs="楷体"/>
          <w:kern w:val="0"/>
          <w:sz w:val="32"/>
          <w:szCs w:val="32"/>
        </w:rPr>
        <w:t>（三）国有资产占用使用情况</w:t>
      </w:r>
      <w:r>
        <w:rPr>
          <w:rFonts w:ascii="宋体" w:hAnsi="宋体" w:cs="宋体"/>
          <w:kern w:val="0"/>
          <w:sz w:val="32"/>
          <w:szCs w:val="32"/>
        </w:rPr>
        <w:t> </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截至2023年12月31日，本部门共有车辆3辆，其中：副部（省）级以上领导用车0辆、主要领导干部用车0辆、机要通信用车0辆、应急保障用车0辆、执法执勤用车0辆、特种专业技术用车0辆、离退休干部用车0辆、其他用车3辆，其他用车主要是</w:t>
      </w:r>
      <w:r>
        <w:rPr>
          <w:rFonts w:hint="eastAsia" w:ascii="仿宋" w:hAnsi="仿宋" w:eastAsia="仿宋"/>
          <w:kern w:val="0"/>
          <w:sz w:val="32"/>
          <w:szCs w:val="32"/>
        </w:rPr>
        <w:t>一般公务用车</w:t>
      </w:r>
      <w:r>
        <w:rPr>
          <w:rFonts w:ascii="仿宋" w:hAnsi="仿宋" w:eastAsia="仿宋" w:cs="仿宋"/>
          <w:kern w:val="0"/>
          <w:sz w:val="32"/>
          <w:szCs w:val="32"/>
        </w:rPr>
        <w:t>；单位价值100万元以上设备（不含车辆）0台（套）。 </w:t>
      </w:r>
    </w:p>
    <w:p>
      <w:pPr>
        <w:pStyle w:val="31"/>
        <w:widowControl/>
        <w:spacing w:before="100" w:after="100"/>
        <w:jc w:val="left"/>
        <w:rPr>
          <w:rFonts w:eastAsia="Times New Roman"/>
          <w:kern w:val="0"/>
          <w:sz w:val="24"/>
        </w:rPr>
      </w:pPr>
      <w:r>
        <w:rPr>
          <w:rFonts w:ascii="Calibri" w:hAnsi="Calibri" w:eastAsia="Calibri" w:cs="Calibri"/>
          <w:kern w:val="0"/>
          <w:sz w:val="27"/>
          <w:szCs w:val="27"/>
        </w:rPr>
        <w:t> </w:t>
      </w:r>
    </w:p>
    <w:p>
      <w:pPr>
        <w:pStyle w:val="31"/>
        <w:widowControl/>
        <w:spacing w:before="100" w:after="100"/>
        <w:jc w:val="center"/>
        <w:rPr>
          <w:rFonts w:eastAsia="Times New Roman"/>
          <w:kern w:val="0"/>
          <w:sz w:val="24"/>
        </w:rPr>
      </w:pPr>
      <w:r>
        <w:rPr>
          <w:rFonts w:ascii="宋体" w:hAnsi="宋体" w:cs="宋体"/>
          <w:kern w:val="0"/>
          <w:sz w:val="56"/>
          <w:szCs w:val="56"/>
        </w:rPr>
        <w:t>  </w:t>
      </w:r>
    </w:p>
    <w:p>
      <w:pPr>
        <w:pStyle w:val="31"/>
        <w:widowControl/>
        <w:spacing w:before="100" w:after="100"/>
        <w:jc w:val="left"/>
        <w:rPr>
          <w:rFonts w:ascii="黑体" w:hAnsi="黑体" w:eastAsia="黑体" w:cs="黑体"/>
          <w:kern w:val="0"/>
          <w:sz w:val="56"/>
          <w:szCs w:val="56"/>
        </w:rPr>
      </w:pPr>
    </w:p>
    <w:p>
      <w:pPr>
        <w:pStyle w:val="31"/>
        <w:widowControl/>
        <w:spacing w:before="100" w:after="100"/>
        <w:jc w:val="left"/>
        <w:rPr>
          <w:rFonts w:eastAsia="Times New Roman"/>
          <w:kern w:val="0"/>
          <w:sz w:val="24"/>
        </w:rPr>
      </w:pPr>
      <w:r>
        <w:rPr>
          <w:rFonts w:ascii="黑体" w:hAnsi="黑体" w:eastAsia="黑体" w:cs="黑体"/>
          <w:kern w:val="0"/>
          <w:sz w:val="56"/>
          <w:szCs w:val="56"/>
        </w:rPr>
        <w:t>第四部分</w:t>
      </w:r>
      <w:r>
        <w:rPr>
          <w:rFonts w:ascii="宋体" w:hAnsi="宋体" w:cs="宋体"/>
          <w:kern w:val="0"/>
          <w:sz w:val="56"/>
          <w:szCs w:val="56"/>
        </w:rPr>
        <w:t> </w:t>
      </w:r>
    </w:p>
    <w:p>
      <w:pPr>
        <w:pStyle w:val="31"/>
        <w:widowControl/>
        <w:spacing w:before="100" w:after="100"/>
        <w:jc w:val="center"/>
        <w:rPr>
          <w:rFonts w:eastAsia="Times New Roman"/>
          <w:kern w:val="0"/>
          <w:sz w:val="24"/>
        </w:rPr>
      </w:pPr>
      <w:r>
        <w:rPr>
          <w:rFonts w:ascii="黑体" w:hAnsi="黑体" w:eastAsia="黑体" w:cs="黑体"/>
          <w:kern w:val="0"/>
          <w:sz w:val="56"/>
          <w:szCs w:val="56"/>
        </w:rPr>
        <w:t>名词解释</w:t>
      </w:r>
    </w:p>
    <w:p>
      <w:pPr>
        <w:pStyle w:val="31"/>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 </w:t>
      </w:r>
    </w:p>
    <w:p>
      <w:pPr>
        <w:pStyle w:val="31"/>
        <w:widowControl/>
        <w:spacing w:before="100" w:after="100"/>
        <w:jc w:val="left"/>
        <w:rPr>
          <w:rFonts w:eastAsia="Times New Roman"/>
          <w:kern w:val="0"/>
          <w:sz w:val="24"/>
        </w:rPr>
      </w:pPr>
      <w:r>
        <w:rPr>
          <w:rFonts w:ascii="Calibri" w:hAnsi="Calibri" w:eastAsia="Calibri" w:cs="Calibri"/>
          <w:kern w:val="0"/>
          <w:szCs w:val="21"/>
        </w:rPr>
        <w:t> </w:t>
      </w:r>
    </w:p>
    <w:p>
      <w:pPr>
        <w:pStyle w:val="31"/>
        <w:widowControl/>
        <w:spacing w:before="100" w:after="100" w:line="600" w:lineRule="atLeast"/>
        <w:ind w:firstLine="710"/>
        <w:jc w:val="left"/>
        <w:rPr>
          <w:rFonts w:eastAsia="Times New Roman"/>
          <w:kern w:val="0"/>
          <w:sz w:val="24"/>
        </w:rPr>
      </w:pPr>
      <w:r>
        <w:rPr>
          <w:rFonts w:ascii="仿宋" w:hAnsi="仿宋" w:eastAsia="仿宋" w:cs="仿宋"/>
          <w:kern w:val="0"/>
          <w:sz w:val="32"/>
          <w:szCs w:val="32"/>
        </w:rPr>
        <w:t>一、财政拨款收入：指单位从本级财政部门取得的财政预算资金，包括一般公共预算财政拨款、政府性基金预算财政拨款和国有资本经营预算财政拨款。</w:t>
      </w:r>
    </w:p>
    <w:p>
      <w:pPr>
        <w:pStyle w:val="31"/>
        <w:widowControl/>
        <w:spacing w:before="100" w:after="100" w:line="600" w:lineRule="atLeast"/>
        <w:ind w:firstLine="710"/>
        <w:jc w:val="left"/>
        <w:rPr>
          <w:rFonts w:eastAsia="Times New Roman"/>
          <w:kern w:val="0"/>
          <w:sz w:val="24"/>
        </w:rPr>
      </w:pPr>
      <w:r>
        <w:rPr>
          <w:rFonts w:ascii="仿宋" w:hAnsi="仿宋" w:eastAsia="仿宋" w:cs="仿宋"/>
          <w:kern w:val="0"/>
          <w:sz w:val="32"/>
          <w:szCs w:val="32"/>
        </w:rPr>
        <w:t>二、事业收入：指事业单位开展专业业务活动及辅助活动所取得的收入。</w:t>
      </w:r>
    </w:p>
    <w:p>
      <w:pPr>
        <w:pStyle w:val="31"/>
        <w:widowControl/>
        <w:spacing w:before="100" w:after="100" w:line="600" w:lineRule="atLeast"/>
        <w:ind w:firstLine="710"/>
        <w:jc w:val="left"/>
        <w:rPr>
          <w:rFonts w:eastAsia="Times New Roman"/>
          <w:kern w:val="0"/>
          <w:sz w:val="24"/>
        </w:rPr>
      </w:pPr>
      <w:r>
        <w:rPr>
          <w:rFonts w:ascii="仿宋" w:hAnsi="仿宋" w:eastAsia="仿宋" w:cs="仿宋"/>
          <w:kern w:val="0"/>
          <w:sz w:val="32"/>
          <w:szCs w:val="32"/>
        </w:rPr>
        <w:t>三、经营收入：指事业单位在专业业务活动及其辅助活动之外开展非独立核算经营活动取得的收入。</w:t>
      </w:r>
    </w:p>
    <w:p>
      <w:pPr>
        <w:pStyle w:val="31"/>
        <w:widowControl/>
        <w:spacing w:before="100" w:after="100" w:line="600" w:lineRule="atLeast"/>
        <w:ind w:firstLine="710"/>
        <w:jc w:val="left"/>
        <w:rPr>
          <w:rFonts w:eastAsia="Times New Roman"/>
          <w:kern w:val="0"/>
          <w:sz w:val="24"/>
        </w:rPr>
      </w:pPr>
      <w:r>
        <w:rPr>
          <w:rFonts w:ascii="仿宋" w:hAnsi="仿宋" w:eastAsia="仿宋" w:cs="仿宋"/>
          <w:kern w:val="0"/>
          <w:sz w:val="32"/>
          <w:szCs w:val="32"/>
        </w:rPr>
        <w:t>四、其他收入：指除上述“财政拨款收入”“事业收入”</w:t>
      </w:r>
      <w:r>
        <w:rPr>
          <w:rFonts w:ascii="宋体" w:hAnsi="宋体" w:cs="宋体"/>
          <w:kern w:val="0"/>
          <w:sz w:val="32"/>
          <w:szCs w:val="32"/>
        </w:rPr>
        <w:t> </w:t>
      </w:r>
      <w:r>
        <w:rPr>
          <w:rFonts w:ascii="仿宋" w:hAnsi="仿宋" w:eastAsia="仿宋" w:cs="仿宋"/>
          <w:kern w:val="0"/>
          <w:sz w:val="32"/>
          <w:szCs w:val="32"/>
        </w:rPr>
        <w:t>“上级补助收入”“附属单位上缴收入”“经营收入”等以外取得的各项收入。主要是事业单位固定资产出租收入等。</w:t>
      </w:r>
    </w:p>
    <w:p>
      <w:pPr>
        <w:pStyle w:val="31"/>
        <w:widowControl/>
        <w:spacing w:before="100" w:after="100" w:line="600" w:lineRule="atLeast"/>
        <w:ind w:firstLine="710"/>
        <w:jc w:val="left"/>
        <w:rPr>
          <w:rFonts w:eastAsia="Times New Roman"/>
          <w:kern w:val="0"/>
          <w:sz w:val="24"/>
        </w:rPr>
      </w:pPr>
      <w:r>
        <w:rPr>
          <w:rFonts w:ascii="仿宋" w:hAnsi="仿宋" w:eastAsia="仿宋" w:cs="仿宋"/>
          <w:kern w:val="0"/>
          <w:sz w:val="32"/>
          <w:szCs w:val="32"/>
        </w:rPr>
        <w:t>五、使用非财政拨款结余：指事业单位使用以前年度积累的非财政拨款结余弥补当年收支差额的金额。</w:t>
      </w:r>
    </w:p>
    <w:p>
      <w:pPr>
        <w:pStyle w:val="31"/>
        <w:widowControl/>
        <w:spacing w:before="100" w:after="100" w:line="600" w:lineRule="atLeast"/>
        <w:ind w:firstLine="710"/>
        <w:jc w:val="left"/>
        <w:rPr>
          <w:rFonts w:eastAsia="Times New Roman"/>
          <w:kern w:val="0"/>
          <w:sz w:val="24"/>
        </w:rPr>
      </w:pPr>
      <w:r>
        <w:rPr>
          <w:rFonts w:ascii="仿宋" w:hAnsi="仿宋" w:eastAsia="仿宋" w:cs="仿宋"/>
          <w:kern w:val="0"/>
          <w:sz w:val="32"/>
          <w:szCs w:val="32"/>
        </w:rPr>
        <w:t>六、年初结转和结余：指单位以前年度尚未完成、结转到本年仍按原规定用途继续使用的资金，或项目已完成等产生的结余资金。</w:t>
      </w:r>
    </w:p>
    <w:p>
      <w:pPr>
        <w:pStyle w:val="32"/>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七、结余分配：指事业单位按照会计制度规定缴纳的所得税、提取的专用结余以及转入非财政拨款结余的金额等。</w:t>
      </w:r>
    </w:p>
    <w:p>
      <w:pPr>
        <w:pStyle w:val="32"/>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八、年末结转和结余：指单位按有关规定结转到下年或以后年度继续使用的资金，或项目已完成等产生的结余资金。</w:t>
      </w:r>
    </w:p>
    <w:p>
      <w:pPr>
        <w:pStyle w:val="32"/>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九、基本支出：指为保障机构正常运转、完成日常工作任务而发生的人员支出和公用支出。</w:t>
      </w:r>
    </w:p>
    <w:p>
      <w:pPr>
        <w:pStyle w:val="32"/>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十、项目支出：指在基本支出之外为完成特定行政任务和事业发展目标所发生的支出。</w:t>
      </w:r>
    </w:p>
    <w:p>
      <w:pPr>
        <w:pStyle w:val="32"/>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十一、经营支出：指事业单位在专业业务活动及其辅助活动之外开展非独立核算经营活动发生的支出。</w:t>
      </w:r>
    </w:p>
    <w:p>
      <w:pPr>
        <w:pStyle w:val="32"/>
        <w:widowControl/>
        <w:spacing w:before="100" w:after="100" w:line="600" w:lineRule="atLeast"/>
        <w:ind w:firstLine="640"/>
        <w:jc w:val="left"/>
        <w:rPr>
          <w:rFonts w:eastAsia="Times New Roman"/>
          <w:kern w:val="0"/>
          <w:sz w:val="24"/>
        </w:rPr>
      </w:pPr>
      <w:r>
        <w:rPr>
          <w:rFonts w:ascii="仿宋" w:hAnsi="仿宋" w:eastAsia="仿宋" w:cs="仿宋"/>
          <w:kern w:val="0"/>
          <w:sz w:val="32"/>
          <w:szCs w:val="32"/>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hAnsi="仿宋" w:eastAsia="仿宋" w:cs="仿宋"/>
          <w:kern w:val="0"/>
          <w:sz w:val="32"/>
          <w:szCs w:val="32"/>
          <w:u w:val="single"/>
        </w:rPr>
        <w:t>、牌照费</w:t>
      </w:r>
      <w:r>
        <w:rPr>
          <w:rFonts w:ascii="仿宋" w:hAnsi="仿宋" w:eastAsia="仿宋" w:cs="仿宋"/>
          <w:kern w:val="0"/>
          <w:sz w:val="32"/>
          <w:szCs w:val="32"/>
        </w:rPr>
        <w:t>）及燃料费、维修费、过桥过路费、保险费</w:t>
      </w:r>
      <w:r>
        <w:rPr>
          <w:rFonts w:ascii="仿宋" w:hAnsi="仿宋" w:eastAsia="仿宋" w:cs="仿宋"/>
          <w:kern w:val="0"/>
          <w:sz w:val="32"/>
          <w:szCs w:val="32"/>
          <w:u w:val="single"/>
        </w:rPr>
        <w:t>、安全奖励费用</w:t>
      </w:r>
      <w:r>
        <w:rPr>
          <w:rFonts w:ascii="仿宋" w:hAnsi="仿宋" w:eastAsia="仿宋" w:cs="仿宋"/>
          <w:kern w:val="0"/>
          <w:sz w:val="32"/>
          <w:szCs w:val="32"/>
        </w:rPr>
        <w:t>等支出；公务接待费反映单位按规定开支的各类公务接待（含外宾接待）支出。</w:t>
      </w:r>
    </w:p>
    <w:p>
      <w:pPr>
        <w:pStyle w:val="31"/>
        <w:widowControl/>
        <w:spacing w:before="100" w:after="100"/>
        <w:ind w:firstLine="643"/>
        <w:jc w:val="left"/>
        <w:rPr>
          <w:rFonts w:eastAsiaTheme="minorEastAsia"/>
          <w:kern w:val="0"/>
          <w:sz w:val="24"/>
        </w:rPr>
      </w:pPr>
      <w:r>
        <w:rPr>
          <w:rFonts w:ascii="仿宋" w:hAnsi="仿宋" w:eastAsia="仿宋" w:cs="仿宋"/>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widowControl/>
        <w:spacing w:before="100" w:after="100"/>
        <w:ind w:firstLine="643"/>
        <w:jc w:val="left"/>
        <w:rPr>
          <w:rFonts w:eastAsia="Times New Roman"/>
          <w:kern w:val="0"/>
          <w:sz w:val="24"/>
        </w:rPr>
      </w:pPr>
      <w:r>
        <w:rPr>
          <w:rFonts w:ascii="黑体" w:hAnsi="黑体" w:eastAsia="黑体" w:cs="黑体"/>
          <w:kern w:val="0"/>
          <w:sz w:val="56"/>
          <w:szCs w:val="56"/>
        </w:rPr>
        <w:t>第五部分</w:t>
      </w:r>
      <w:r>
        <w:rPr>
          <w:rFonts w:ascii="宋体" w:hAnsi="宋体" w:cs="宋体"/>
          <w:kern w:val="0"/>
          <w:sz w:val="56"/>
          <w:szCs w:val="56"/>
        </w:rPr>
        <w:t> </w:t>
      </w:r>
    </w:p>
    <w:p>
      <w:pPr>
        <w:pStyle w:val="31"/>
        <w:widowControl/>
        <w:spacing w:before="100" w:after="100"/>
        <w:jc w:val="center"/>
        <w:rPr>
          <w:rFonts w:ascii="黑体" w:hAnsi="黑体" w:eastAsia="黑体" w:cs="黑体"/>
          <w:kern w:val="0"/>
          <w:sz w:val="56"/>
          <w:szCs w:val="56"/>
        </w:rPr>
      </w:pPr>
      <w:r>
        <w:rPr>
          <w:rFonts w:ascii="黑体" w:hAnsi="黑体" w:eastAsia="黑体" w:cs="黑体"/>
          <w:kern w:val="0"/>
          <w:sz w:val="56"/>
          <w:szCs w:val="56"/>
        </w:rPr>
        <w:t>附件</w:t>
      </w:r>
    </w:p>
    <w:p>
      <w:pPr>
        <w:pStyle w:val="31"/>
        <w:widowControl/>
        <w:spacing w:before="100" w:after="100" w:line="600" w:lineRule="atLeast"/>
        <w:ind w:firstLine="640"/>
        <w:jc w:val="left"/>
        <w:rPr>
          <w:rFonts w:ascii="黑体" w:hAnsi="黑体" w:eastAsia="黑体" w:cs="黑体"/>
          <w:kern w:val="0"/>
          <w:sz w:val="32"/>
          <w:szCs w:val="32"/>
        </w:rPr>
      </w:pPr>
      <w:r>
        <w:rPr>
          <w:rFonts w:ascii="黑体" w:hAnsi="黑体" w:eastAsia="黑体" w:cs="黑体"/>
          <w:kern w:val="0"/>
          <w:sz w:val="32"/>
          <w:szCs w:val="32"/>
        </w:rPr>
        <w:t>一、项目支出绩效自评表</w:t>
      </w:r>
    </w:p>
    <w:p>
      <w:pPr>
        <w:shd w:val="clear" w:color="auto" w:fill="FFFFFF"/>
        <w:spacing w:before="100" w:beforeAutospacing="1" w:after="100" w:afterAutospacing="1"/>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 xml:space="preserve"> 年度本部门无部门</w:t>
      </w:r>
      <w:r>
        <w:rPr>
          <w:rFonts w:hint="eastAsia" w:ascii="仿宋" w:hAnsi="仿宋" w:eastAsia="仿宋"/>
          <w:sz w:val="32"/>
          <w:szCs w:val="32"/>
        </w:rPr>
        <w:t>自评</w:t>
      </w:r>
      <w:r>
        <w:rPr>
          <w:rFonts w:ascii="仿宋" w:hAnsi="仿宋" w:eastAsia="仿宋"/>
          <w:sz w:val="32"/>
          <w:szCs w:val="32"/>
        </w:rPr>
        <w:t>项目</w:t>
      </w:r>
      <w:r>
        <w:rPr>
          <w:rFonts w:hint="eastAsia" w:ascii="仿宋" w:hAnsi="仿宋" w:eastAsia="仿宋"/>
          <w:sz w:val="32"/>
          <w:szCs w:val="32"/>
        </w:rPr>
        <w:t>。</w:t>
      </w:r>
    </w:p>
    <w:p>
      <w:pPr>
        <w:pStyle w:val="31"/>
        <w:widowControl/>
        <w:spacing w:before="100" w:after="100" w:line="600" w:lineRule="atLeast"/>
        <w:ind w:firstLine="640"/>
        <w:jc w:val="left"/>
        <w:rPr>
          <w:rFonts w:ascii="黑体" w:hAnsi="黑体" w:eastAsia="黑体" w:cs="黑体"/>
          <w:kern w:val="0"/>
          <w:sz w:val="32"/>
          <w:szCs w:val="32"/>
        </w:rPr>
      </w:pPr>
      <w:r>
        <w:rPr>
          <w:rFonts w:ascii="黑体" w:hAnsi="黑体" w:eastAsia="黑体" w:cs="黑体"/>
          <w:kern w:val="0"/>
          <w:sz w:val="32"/>
          <w:szCs w:val="32"/>
        </w:rPr>
        <w:t>二、项目支出绩效评价报告</w:t>
      </w:r>
    </w:p>
    <w:p>
      <w:pPr>
        <w:shd w:val="clear" w:color="auto" w:fill="FFFFFF"/>
        <w:spacing w:before="100" w:beforeAutospacing="1" w:after="100" w:afterAutospacing="1"/>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年度本部门无部门评价项目,无《项目支出绩效评价报告》</w:t>
      </w:r>
      <w:r>
        <w:rPr>
          <w:rFonts w:hint="eastAsia" w:ascii="仿宋" w:hAnsi="仿宋" w:eastAsia="仿宋"/>
          <w:sz w:val="32"/>
          <w:szCs w:val="32"/>
        </w:rPr>
        <w:t>。</w:t>
      </w:r>
    </w:p>
    <w:p>
      <w:pPr>
        <w:pStyle w:val="31"/>
        <w:widowControl/>
        <w:spacing w:before="100" w:after="100" w:line="600" w:lineRule="atLeast"/>
        <w:ind w:firstLine="640"/>
        <w:jc w:val="left"/>
        <w:rPr>
          <w:rFonts w:eastAsia="Times New Roman"/>
          <w:kern w:val="0"/>
          <w:sz w:val="24"/>
        </w:rPr>
      </w:pPr>
      <w:r>
        <w:rPr>
          <w:rFonts w:ascii="黑体" w:hAnsi="黑体" w:eastAsia="黑体" w:cs="黑体"/>
          <w:kern w:val="0"/>
          <w:sz w:val="32"/>
          <w:szCs w:val="32"/>
        </w:rPr>
        <w:t>三、部门整体支出绩效自评表</w:t>
      </w:r>
    </w:p>
    <w:bookmarkEnd w:id="0"/>
    <w:p>
      <w:pPr>
        <w:shd w:val="clear" w:color="auto" w:fill="FFFFFF"/>
        <w:spacing w:before="100" w:beforeAutospacing="1" w:after="100" w:afterAutospacing="1"/>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 xml:space="preserve"> 年度本部门无</w:t>
      </w:r>
      <w:r>
        <w:rPr>
          <w:rFonts w:hint="eastAsia" w:ascii="仿宋" w:hAnsi="仿宋" w:eastAsia="仿宋"/>
          <w:sz w:val="32"/>
          <w:szCs w:val="32"/>
        </w:rPr>
        <w:t>整体支出绩效自评</w:t>
      </w:r>
      <w:r>
        <w:rPr>
          <w:rFonts w:ascii="仿宋" w:hAnsi="仿宋" w:eastAsia="仿宋"/>
          <w:sz w:val="32"/>
          <w:szCs w:val="32"/>
        </w:rPr>
        <w:t>项目</w:t>
      </w:r>
      <w:r>
        <w:rPr>
          <w:rFonts w:hint="eastAsia" w:ascii="仿宋" w:hAnsi="仿宋" w:eastAsia="仿宋"/>
          <w:sz w:val="32"/>
          <w:szCs w:val="32"/>
        </w:rPr>
        <w:t>。</w:t>
      </w:r>
    </w:p>
    <w:p>
      <w:pPr>
        <w:tabs>
          <w:tab w:val="left" w:pos="8415"/>
        </w:tabs>
      </w:pPr>
    </w:p>
    <w:sectPr>
      <w:footerReference r:id="rId3"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2</w:t>
    </w:r>
    <w:r>
      <w:rPr>
        <w:rFonts w:ascii="宋体" w:hAnsi="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0536"/>
    <w:rsid w:val="0000662F"/>
    <w:rsid w:val="0001198A"/>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2D10B5"/>
    <w:rsid w:val="002D71A4"/>
    <w:rsid w:val="002D7BDA"/>
    <w:rsid w:val="00300987"/>
    <w:rsid w:val="003068A6"/>
    <w:rsid w:val="0030784F"/>
    <w:rsid w:val="00312846"/>
    <w:rsid w:val="00367870"/>
    <w:rsid w:val="00375E79"/>
    <w:rsid w:val="003A4E85"/>
    <w:rsid w:val="003B3EAA"/>
    <w:rsid w:val="003E5C1E"/>
    <w:rsid w:val="00482D36"/>
    <w:rsid w:val="00490629"/>
    <w:rsid w:val="0049507B"/>
    <w:rsid w:val="004A738F"/>
    <w:rsid w:val="004B1589"/>
    <w:rsid w:val="004B721F"/>
    <w:rsid w:val="004D7065"/>
    <w:rsid w:val="004E0B6C"/>
    <w:rsid w:val="005011E1"/>
    <w:rsid w:val="00505A51"/>
    <w:rsid w:val="0051384E"/>
    <w:rsid w:val="00521603"/>
    <w:rsid w:val="00536012"/>
    <w:rsid w:val="005456D6"/>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7F2F15"/>
    <w:rsid w:val="00836830"/>
    <w:rsid w:val="00851B12"/>
    <w:rsid w:val="00857D98"/>
    <w:rsid w:val="00894C48"/>
    <w:rsid w:val="00896385"/>
    <w:rsid w:val="0089792B"/>
    <w:rsid w:val="008A10DB"/>
    <w:rsid w:val="008A4147"/>
    <w:rsid w:val="008B5455"/>
    <w:rsid w:val="008E2396"/>
    <w:rsid w:val="009125DD"/>
    <w:rsid w:val="00954CD9"/>
    <w:rsid w:val="009A3182"/>
    <w:rsid w:val="009A435B"/>
    <w:rsid w:val="009A5EF3"/>
    <w:rsid w:val="009D6904"/>
    <w:rsid w:val="009D6CF1"/>
    <w:rsid w:val="009E1EE8"/>
    <w:rsid w:val="009E227B"/>
    <w:rsid w:val="009E308A"/>
    <w:rsid w:val="009F0536"/>
    <w:rsid w:val="00A022F5"/>
    <w:rsid w:val="00A10AAE"/>
    <w:rsid w:val="00A147CF"/>
    <w:rsid w:val="00A270BE"/>
    <w:rsid w:val="00A36C1D"/>
    <w:rsid w:val="00A517A0"/>
    <w:rsid w:val="00A62486"/>
    <w:rsid w:val="00AB013A"/>
    <w:rsid w:val="00AD11A5"/>
    <w:rsid w:val="00AE47F5"/>
    <w:rsid w:val="00AF5F33"/>
    <w:rsid w:val="00B10863"/>
    <w:rsid w:val="00B278C2"/>
    <w:rsid w:val="00B27D51"/>
    <w:rsid w:val="00B326F7"/>
    <w:rsid w:val="00B32BEE"/>
    <w:rsid w:val="00B373AF"/>
    <w:rsid w:val="00B4208A"/>
    <w:rsid w:val="00B57D7A"/>
    <w:rsid w:val="00B76620"/>
    <w:rsid w:val="00B840CE"/>
    <w:rsid w:val="00B96C3D"/>
    <w:rsid w:val="00BD0928"/>
    <w:rsid w:val="00BD380A"/>
    <w:rsid w:val="00BE5F73"/>
    <w:rsid w:val="00BF4228"/>
    <w:rsid w:val="00C07A30"/>
    <w:rsid w:val="00C352FF"/>
    <w:rsid w:val="00C44231"/>
    <w:rsid w:val="00C8206C"/>
    <w:rsid w:val="00C87DD1"/>
    <w:rsid w:val="00CA516E"/>
    <w:rsid w:val="00CC6B8B"/>
    <w:rsid w:val="00CD0693"/>
    <w:rsid w:val="00CD3751"/>
    <w:rsid w:val="00D2051A"/>
    <w:rsid w:val="00D750B9"/>
    <w:rsid w:val="00D96390"/>
    <w:rsid w:val="00E219E7"/>
    <w:rsid w:val="00E60D6A"/>
    <w:rsid w:val="00E73321"/>
    <w:rsid w:val="00E77EC0"/>
    <w:rsid w:val="00E914C1"/>
    <w:rsid w:val="00E97C37"/>
    <w:rsid w:val="00EA1B5C"/>
    <w:rsid w:val="00EB7316"/>
    <w:rsid w:val="00EE533B"/>
    <w:rsid w:val="00F04882"/>
    <w:rsid w:val="00F175E4"/>
    <w:rsid w:val="00F63327"/>
    <w:rsid w:val="00F80A29"/>
    <w:rsid w:val="00FA7CA5"/>
    <w:rsid w:val="00FD08EC"/>
    <w:rsid w:val="00FD1DA5"/>
    <w:rsid w:val="00FD7690"/>
    <w:rsid w:val="FFFE9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Indent"/>
    <w:basedOn w:val="1"/>
    <w:link w:val="34"/>
    <w:semiHidden/>
    <w:unhideWhenUsed/>
    <w:qFormat/>
    <w:uiPriority w:val="0"/>
    <w:pPr>
      <w:spacing w:after="120"/>
      <w:ind w:left="420" w:leftChars="200"/>
    </w:p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paragraph" w:styleId="19">
    <w:name w:val="Body Text First Indent 2"/>
    <w:basedOn w:val="8"/>
    <w:next w:val="1"/>
    <w:link w:val="35"/>
    <w:qFormat/>
    <w:uiPriority w:val="99"/>
    <w:pPr>
      <w:spacing w:after="0"/>
      <w:ind w:firstLine="420" w:firstLineChars="200"/>
      <w:jc w:val="left"/>
    </w:pPr>
    <w:rPr>
      <w:rFonts w:eastAsia="仿宋_GB2312"/>
      <w:color w:val="000000"/>
      <w:sz w:val="32"/>
    </w:rPr>
  </w:style>
  <w:style w:type="character" w:styleId="22">
    <w:name w:val="Strong"/>
    <w:basedOn w:val="21"/>
    <w:qFormat/>
    <w:uiPriority w:val="99"/>
    <w:rPr>
      <w:rFonts w:cs="Times New Roman"/>
      <w:b/>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标题 4 Char"/>
    <w:basedOn w:val="21"/>
    <w:link w:val="5"/>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Char"/>
    <w:link w:val="26"/>
    <w:qFormat/>
    <w:locked/>
    <w:uiPriority w:val="0"/>
    <w:rPr>
      <w:rFonts w:eastAsia="仿宋_GB2312"/>
      <w:sz w:val="30"/>
      <w:szCs w:val="22"/>
      <w:lang w:bidi="ar-SA"/>
    </w:rPr>
  </w:style>
  <w:style w:type="character" w:customStyle="1" w:styleId="28">
    <w:name w:val="页脚 Char"/>
    <w:basedOn w:val="21"/>
    <w:link w:val="12"/>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Char"/>
    <w:basedOn w:val="21"/>
    <w:link w:val="4"/>
    <w:qFormat/>
    <w:uiPriority w:val="0"/>
    <w:rPr>
      <w:b/>
      <w:bCs/>
      <w:kern w:val="2"/>
      <w:sz w:val="32"/>
      <w:szCs w:val="32"/>
    </w:rPr>
  </w:style>
  <w:style w:type="paragraph" w:customStyle="1" w:styleId="31">
    <w:name w:val="MsoNormal"/>
    <w:basedOn w:val="1"/>
    <w:qFormat/>
    <w:uiPriority w:val="0"/>
  </w:style>
  <w:style w:type="paragraph" w:customStyle="1" w:styleId="32">
    <w:name w:val="p"/>
    <w:basedOn w:val="1"/>
    <w:qFormat/>
    <w:uiPriority w:val="0"/>
  </w:style>
  <w:style w:type="table" w:customStyle="1" w:styleId="33">
    <w:name w:val="MsoNormalTable"/>
    <w:basedOn w:val="20"/>
    <w:qFormat/>
    <w:uiPriority w:val="0"/>
    <w:tblPr>
      <w:tblCellMar>
        <w:top w:w="0" w:type="dxa"/>
        <w:left w:w="108" w:type="dxa"/>
        <w:bottom w:w="0" w:type="dxa"/>
        <w:right w:w="108" w:type="dxa"/>
      </w:tblCellMar>
    </w:tblPr>
  </w:style>
  <w:style w:type="character" w:customStyle="1" w:styleId="34">
    <w:name w:val="正文文本缩进 Char"/>
    <w:basedOn w:val="21"/>
    <w:link w:val="8"/>
    <w:semiHidden/>
    <w:qFormat/>
    <w:uiPriority w:val="0"/>
    <w:rPr>
      <w:kern w:val="2"/>
      <w:sz w:val="21"/>
      <w:szCs w:val="24"/>
    </w:rPr>
  </w:style>
  <w:style w:type="character" w:customStyle="1" w:styleId="35">
    <w:name w:val="正文首行缩进 2 Char"/>
    <w:basedOn w:val="34"/>
    <w:link w:val="19"/>
    <w:qFormat/>
    <w:uiPriority w:val="99"/>
    <w:rPr>
      <w:rFonts w:eastAsia="仿宋_GB2312"/>
      <w:color w:val="00000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51</Pages>
  <Words>2751</Words>
  <Characters>15681</Characters>
  <Lines>130</Lines>
  <Paragraphs>36</Paragraphs>
  <TotalTime>11</TotalTime>
  <ScaleCrop>false</ScaleCrop>
  <LinksUpToDate>false</LinksUpToDate>
  <CharactersWithSpaces>18396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2024-08-19T15:30:00Z</dcterms:created>
  <dc:creator>Administrator</dc:creator>
  <cp:lastModifiedBy>cgzzf</cp:lastModifiedBy>
  <cp:lastPrinted>2024-08-09T16:04:00Z</cp:lastPrinted>
  <dcterms:modified xsi:type="dcterms:W3CDTF">2024-09-02T09:28:23Z</dcterms:modified>
  <dc:title>××年度××部门/单位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6EF22B3C7D321783B714D566B3A4E5C4</vt:lpwstr>
  </property>
</Properties>
</file>