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汤川乡20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年决算分析报告</w:t>
      </w:r>
    </w:p>
    <w:p>
      <w:pPr>
        <w:snapToGrid w:val="0"/>
        <w:spacing w:line="588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一、部门（单位）情况</w:t>
      </w:r>
    </w:p>
    <w:p>
      <w:pPr>
        <w:snapToGrid w:val="0"/>
        <w:spacing w:line="588" w:lineRule="exact"/>
        <w:ind w:firstLine="643" w:firstLineChars="200"/>
        <w:outlineLvl w:val="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（一）基本情况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tabs>
          <w:tab w:val="left" w:pos="7513"/>
        </w:tabs>
        <w:adjustRightInd w:val="0"/>
        <w:snapToGrid w:val="0"/>
        <w:spacing w:line="4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汤川乡政府</w:t>
      </w:r>
      <w:r>
        <w:rPr>
          <w:rFonts w:hint="eastAsia" w:ascii="仿宋_GB2312" w:hAnsi="仿宋" w:eastAsia="仿宋_GB2312"/>
          <w:sz w:val="32"/>
          <w:szCs w:val="32"/>
        </w:rPr>
        <w:t>部门的主要职责是：负责完成政府日常公务工作，为党政领导联系和安排政务活动的有关事宜，起好上传下达的作用；负责文件的处理和文书档案的管理；负责各种信息和有关资料收集、统计和汇报工作；做好宣传和调研工作，督促、检查县、乡有关会议及方针政策的贯彻落实；承办会务，组织活动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2．机构人员情况。</w:t>
      </w:r>
    </w:p>
    <w:tbl>
      <w:tblPr>
        <w:tblStyle w:val="7"/>
        <w:tblpPr w:leftFromText="180" w:rightFromText="180" w:vertAnchor="text" w:horzAnchor="margin" w:tblpY="994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880"/>
        <w:gridCol w:w="1879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2880" w:type="dxa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经费性质</w:t>
            </w:r>
          </w:p>
        </w:tc>
        <w:tc>
          <w:tcPr>
            <w:tcW w:w="1879" w:type="dxa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人员编制数</w:t>
            </w:r>
          </w:p>
        </w:tc>
        <w:tc>
          <w:tcPr>
            <w:tcW w:w="2131" w:type="dxa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在职人数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政府机关</w:t>
            </w:r>
          </w:p>
        </w:tc>
        <w:tc>
          <w:tcPr>
            <w:tcW w:w="288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财政核拨</w:t>
            </w:r>
          </w:p>
        </w:tc>
        <w:tc>
          <w:tcPr>
            <w:tcW w:w="1879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事业单位</w:t>
            </w:r>
          </w:p>
        </w:tc>
        <w:tc>
          <w:tcPr>
            <w:tcW w:w="28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财政核拨</w:t>
            </w:r>
          </w:p>
        </w:tc>
        <w:tc>
          <w:tcPr>
            <w:tcW w:w="1879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79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7513"/>
              </w:tabs>
              <w:adjustRightInd w:val="0"/>
              <w:snapToGrid w:val="0"/>
              <w:spacing w:line="4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88" w:lineRule="exact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3．机构人员当年变动情况及原因。</w:t>
      </w:r>
    </w:p>
    <w:p>
      <w:pPr>
        <w:tabs>
          <w:tab w:val="left" w:pos="7513"/>
        </w:tabs>
        <w:adjustRightInd w:val="0"/>
        <w:snapToGrid w:val="0"/>
        <w:spacing w:line="4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</w:rPr>
        <w:t>年本单位实有在职人数为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" w:eastAsia="仿宋_GB2312"/>
          <w:sz w:val="32"/>
          <w:szCs w:val="32"/>
        </w:rPr>
        <w:t>人，上年度实有在职人数为5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人。本年度比上年度实有在职人数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人，变动原因为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编制调出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人，另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辞职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4人。</w:t>
      </w:r>
    </w:p>
    <w:p>
      <w:pPr>
        <w:snapToGrid w:val="0"/>
        <w:spacing w:line="588" w:lineRule="exact"/>
        <w:ind w:firstLine="643" w:firstLineChars="200"/>
        <w:outlineLvl w:val="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（二）当年取得的主要事业成效</w:t>
      </w:r>
    </w:p>
    <w:p>
      <w:pPr>
        <w:tabs>
          <w:tab w:val="left" w:pos="7513"/>
        </w:tabs>
        <w:adjustRightInd w:val="0"/>
        <w:snapToGrid w:val="0"/>
        <w:spacing w:line="4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年，</w:t>
      </w:r>
      <w:r>
        <w:rPr>
          <w:rFonts w:hint="eastAsia" w:ascii="仿宋_GB2312" w:hAnsi="仿宋" w:eastAsia="仿宋_GB2312" w:cs="仿宋_GB2312"/>
          <w:sz w:val="32"/>
          <w:szCs w:val="32"/>
        </w:rPr>
        <w:t>汤川乡人民政府</w:t>
      </w:r>
      <w:r>
        <w:rPr>
          <w:rFonts w:hint="eastAsia" w:ascii="仿宋_GB2312" w:hAnsi="仿宋" w:eastAsia="仿宋_GB2312"/>
          <w:sz w:val="32"/>
          <w:szCs w:val="32"/>
        </w:rPr>
        <w:t>部门主要任务是：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认真贯彻执行县、乡经济工作会议和全县财政工作会议精神，紧紧围绕乡党委、政府的工作总体部署和要求，结合我乡的实际情况，认真落实积极的财政政策，增收节支，提高保障能力，加强财政科学化、精细化管理，提高财政资金使用效益，促进我乡各项事业的发展。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“抓收入、保支出、创环境、促发展”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的工作思路，为汤川“画好山水画，争先新常态”提供财政保障</w:t>
      </w:r>
      <w:r>
        <w:rPr>
          <w:rFonts w:hint="eastAsia" w:ascii="仿宋_GB2312" w:hAnsi="仿宋" w:eastAsia="仿宋_GB2312"/>
          <w:sz w:val="32"/>
          <w:szCs w:val="32"/>
        </w:rPr>
        <w:t>围绕上述任务，重点完成了以下工作：</w:t>
      </w:r>
    </w:p>
    <w:p>
      <w:pPr>
        <w:tabs>
          <w:tab w:val="left" w:pos="7513"/>
        </w:tabs>
        <w:adjustRightInd w:val="0"/>
        <w:snapToGrid w:val="0"/>
        <w:spacing w:line="4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注重财源建设，保持财政收入稳定增长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tabs>
          <w:tab w:val="left" w:pos="7513"/>
        </w:tabs>
        <w:adjustRightInd w:val="0"/>
        <w:snapToGrid w:val="0"/>
        <w:spacing w:line="4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（二）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着力改善民生，加快社会主义新农村建设。</w:t>
      </w:r>
    </w:p>
    <w:p>
      <w:pPr>
        <w:tabs>
          <w:tab w:val="left" w:pos="7513"/>
        </w:tabs>
        <w:adjustRightInd w:val="0"/>
        <w:snapToGrid w:val="0"/>
        <w:spacing w:line="4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（三）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坚持深化改革，规范了财政资金监管。</w:t>
      </w:r>
    </w:p>
    <w:p>
      <w:pPr>
        <w:tabs>
          <w:tab w:val="left" w:pos="7513"/>
        </w:tabs>
        <w:adjustRightInd w:val="0"/>
        <w:snapToGrid w:val="0"/>
        <w:spacing w:line="4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（四）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注重干部队伍建设，切实了转变工作作风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snapToGrid w:val="0"/>
        <w:spacing w:line="588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二、收入支出预算执行情况分析</w:t>
      </w:r>
    </w:p>
    <w:p>
      <w:pPr>
        <w:snapToGrid w:val="0"/>
        <w:spacing w:line="588" w:lineRule="exact"/>
        <w:ind w:firstLine="643" w:firstLineChars="200"/>
        <w:outlineLvl w:val="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（一）收入支出预算安排情况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年，本单位年初预算安排收入为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688.59</w:t>
      </w:r>
      <w:r>
        <w:rPr>
          <w:rFonts w:hint="eastAsia" w:ascii="仿宋_GB2312" w:hAnsi="仿宋" w:eastAsia="仿宋_GB2312"/>
          <w:sz w:val="32"/>
          <w:szCs w:val="32"/>
        </w:rPr>
        <w:t>万元，比上年度增长了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1.24</w:t>
      </w:r>
      <w:r>
        <w:rPr>
          <w:rFonts w:hint="eastAsia" w:ascii="仿宋_GB2312" w:hAnsi="仿宋" w:eastAsia="仿宋_GB2312"/>
          <w:sz w:val="32"/>
          <w:szCs w:val="32"/>
        </w:rPr>
        <w:t>% ；支出为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688.59</w:t>
      </w:r>
      <w:r>
        <w:rPr>
          <w:rFonts w:hint="eastAsia" w:ascii="仿宋_GB2312" w:hAnsi="仿宋" w:eastAsia="仿宋_GB2312"/>
          <w:sz w:val="32"/>
          <w:szCs w:val="32"/>
        </w:rPr>
        <w:t>万元，比上年度增长了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1.24</w:t>
      </w:r>
      <w:r>
        <w:rPr>
          <w:rFonts w:hint="eastAsia" w:ascii="仿宋_GB2312" w:hAnsi="仿宋" w:eastAsia="仿宋_GB2312"/>
          <w:sz w:val="32"/>
          <w:szCs w:val="32"/>
        </w:rPr>
        <w:t>% 。</w:t>
      </w:r>
    </w:p>
    <w:p>
      <w:pPr>
        <w:snapToGrid w:val="0"/>
        <w:spacing w:line="588" w:lineRule="exact"/>
        <w:ind w:firstLine="643" w:firstLineChars="200"/>
        <w:outlineLvl w:val="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（二）收入支出执行情况</w:t>
      </w:r>
    </w:p>
    <w:p>
      <w:pPr>
        <w:snapToGrid w:val="0"/>
        <w:spacing w:line="588" w:lineRule="exact"/>
        <w:ind w:firstLine="640" w:firstLineChars="200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022</w:t>
      </w:r>
      <w:r>
        <w:rPr>
          <w:rFonts w:hint="eastAsia" w:ascii="仿宋_GB2312" w:hAnsi="仿宋" w:eastAsia="仿宋_GB2312"/>
          <w:sz w:val="32"/>
          <w:szCs w:val="32"/>
        </w:rPr>
        <w:t>年，本单位收入为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1773.32</w:t>
      </w:r>
      <w:r>
        <w:rPr>
          <w:rFonts w:hint="eastAsia" w:ascii="仿宋_GB2312" w:hAnsi="仿宋" w:eastAsia="仿宋_GB2312"/>
          <w:sz w:val="32"/>
          <w:szCs w:val="32"/>
        </w:rPr>
        <w:t>万元，比上年度减少了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465.15</w:t>
      </w:r>
      <w:r>
        <w:rPr>
          <w:rFonts w:hint="eastAsia" w:ascii="仿宋_GB2312" w:hAnsi="仿宋" w:eastAsia="仿宋_GB2312"/>
          <w:sz w:val="32"/>
          <w:szCs w:val="32"/>
        </w:rPr>
        <w:t>万元，比上年度减少了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20.87</w:t>
      </w:r>
      <w:r>
        <w:rPr>
          <w:rFonts w:hint="eastAsia" w:ascii="仿宋_GB2312" w:hAnsi="仿宋" w:eastAsia="仿宋_GB2312"/>
          <w:sz w:val="32"/>
          <w:szCs w:val="32"/>
        </w:rPr>
        <w:t>% ；支出为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1773.32</w:t>
      </w:r>
      <w:r>
        <w:rPr>
          <w:rFonts w:hint="eastAsia" w:ascii="仿宋_GB2312" w:hAnsi="仿宋" w:eastAsia="仿宋_GB2312"/>
          <w:sz w:val="32"/>
          <w:szCs w:val="32"/>
        </w:rPr>
        <w:t>万元，比上年度减少了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465.15</w:t>
      </w:r>
      <w:r>
        <w:rPr>
          <w:rFonts w:hint="eastAsia" w:ascii="仿宋_GB2312" w:hAnsi="仿宋" w:eastAsia="仿宋_GB2312"/>
          <w:sz w:val="32"/>
          <w:szCs w:val="32"/>
        </w:rPr>
        <w:t>万元，比上年度减少了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20.87</w:t>
      </w:r>
      <w:r>
        <w:rPr>
          <w:rFonts w:hint="eastAsia" w:ascii="仿宋_GB2312" w:hAnsi="仿宋" w:eastAsia="仿宋_GB2312"/>
          <w:sz w:val="32"/>
          <w:szCs w:val="32"/>
        </w:rPr>
        <w:t>% 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（1）“三公”经费支出情况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（元）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5"/>
        <w:gridCol w:w="1849"/>
        <w:gridCol w:w="18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本年决算数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上年决算数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1、因公出国（境）费用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2、公务接待费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100000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158500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3、公务用车费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57500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其中：（1）公务用车运行维护费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57500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（2）公务用车购置费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157500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158500</w:t>
            </w:r>
          </w:p>
        </w:tc>
      </w:tr>
    </w:tbl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差异原因：政府主动核减三公开支，未将疫情防控开支纳入三公经费。</w:t>
      </w:r>
    </w:p>
    <w:p>
      <w:pPr>
        <w:snapToGrid w:val="0"/>
        <w:spacing w:line="588" w:lineRule="exact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88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、本年度部门决算等财务工作开展情况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（一）本部门（单位）财务管理、决算组织、编报、审核情况。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按照政府收支分类科目，根据全年收入支出情况认真编制了本年度决算报表。在编报前，能够按要求参加决算编制布置会，及时掌握本年决算编制变化动态，做好编报前期工作。在编报过程中，能够及时收集编报用材料，确保材料真实有效性。编制完成后，能够对报表进行审核，修改，确保报表数据准确完整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（二）本部门（单位）决算公开工作情况。 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按上级部门要求及时编制了预决算公开报表；预决算公开程序依法合规、公开内容全面完整、具体明确、通俗易懂；在公开时间上，能够按照上级部门要求，做到及时有效。主管部门对本单位也能够做到及时安排，认真指导，按规定批复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（三）对部门（单位）决算管理及报表设计的意见建议。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可以组织决算培训会议，为进一步编制好决算做有效的铺垫。</w:t>
      </w:r>
    </w:p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4B"/>
    <w:rsid w:val="00052AFA"/>
    <w:rsid w:val="000C31DD"/>
    <w:rsid w:val="00102CD0"/>
    <w:rsid w:val="0011253F"/>
    <w:rsid w:val="00141A0E"/>
    <w:rsid w:val="00173B55"/>
    <w:rsid w:val="001D6E2B"/>
    <w:rsid w:val="001F41B1"/>
    <w:rsid w:val="00204F34"/>
    <w:rsid w:val="0022409C"/>
    <w:rsid w:val="00231831"/>
    <w:rsid w:val="00246934"/>
    <w:rsid w:val="00287868"/>
    <w:rsid w:val="00310D5A"/>
    <w:rsid w:val="00322383"/>
    <w:rsid w:val="003262E8"/>
    <w:rsid w:val="0033084B"/>
    <w:rsid w:val="00334032"/>
    <w:rsid w:val="003852AE"/>
    <w:rsid w:val="003B26BF"/>
    <w:rsid w:val="00485987"/>
    <w:rsid w:val="00497D78"/>
    <w:rsid w:val="004A63C6"/>
    <w:rsid w:val="004B62E1"/>
    <w:rsid w:val="00592193"/>
    <w:rsid w:val="00643D5B"/>
    <w:rsid w:val="00667371"/>
    <w:rsid w:val="00693D02"/>
    <w:rsid w:val="006C4A0D"/>
    <w:rsid w:val="006D7D0E"/>
    <w:rsid w:val="006F5A84"/>
    <w:rsid w:val="00706135"/>
    <w:rsid w:val="00712B66"/>
    <w:rsid w:val="00722EE5"/>
    <w:rsid w:val="007308A2"/>
    <w:rsid w:val="00794BBD"/>
    <w:rsid w:val="008101DD"/>
    <w:rsid w:val="00840422"/>
    <w:rsid w:val="00842344"/>
    <w:rsid w:val="00853527"/>
    <w:rsid w:val="00867920"/>
    <w:rsid w:val="008A0FBF"/>
    <w:rsid w:val="008A1EB2"/>
    <w:rsid w:val="008E35B9"/>
    <w:rsid w:val="00925F8A"/>
    <w:rsid w:val="00936B81"/>
    <w:rsid w:val="009F4431"/>
    <w:rsid w:val="00A207C3"/>
    <w:rsid w:val="00A51415"/>
    <w:rsid w:val="00A92EE9"/>
    <w:rsid w:val="00A9794D"/>
    <w:rsid w:val="00B60F30"/>
    <w:rsid w:val="00B659F3"/>
    <w:rsid w:val="00B807A0"/>
    <w:rsid w:val="00BC695F"/>
    <w:rsid w:val="00BE4F7E"/>
    <w:rsid w:val="00C073D7"/>
    <w:rsid w:val="00C115D6"/>
    <w:rsid w:val="00C30C26"/>
    <w:rsid w:val="00C3126F"/>
    <w:rsid w:val="00D10863"/>
    <w:rsid w:val="00D42D8E"/>
    <w:rsid w:val="00D65BD4"/>
    <w:rsid w:val="00DE4276"/>
    <w:rsid w:val="00E33A1F"/>
    <w:rsid w:val="00E57B96"/>
    <w:rsid w:val="00E96D84"/>
    <w:rsid w:val="00EA7EEC"/>
    <w:rsid w:val="00F1236B"/>
    <w:rsid w:val="00F37283"/>
    <w:rsid w:val="00F878E7"/>
    <w:rsid w:val="0567644D"/>
    <w:rsid w:val="05D82250"/>
    <w:rsid w:val="0B2E1321"/>
    <w:rsid w:val="170C218F"/>
    <w:rsid w:val="1D643DCC"/>
    <w:rsid w:val="343E19D0"/>
    <w:rsid w:val="56510188"/>
    <w:rsid w:val="6014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359</Words>
  <Characters>2050</Characters>
  <Lines>17</Lines>
  <Paragraphs>4</Paragraphs>
  <TotalTime>0</TotalTime>
  <ScaleCrop>false</ScaleCrop>
  <LinksUpToDate>false</LinksUpToDate>
  <CharactersWithSpaces>2405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2016-01-19T10:29:00Z</dcterms:created>
  <dc:creator>微软用户</dc:creator>
  <cp:lastModifiedBy>汤川乡</cp:lastModifiedBy>
  <cp:lastPrinted>2021-03-10T02:08:00Z</cp:lastPrinted>
  <dcterms:modified xsi:type="dcterms:W3CDTF">2023-03-30T08:26:56Z</dcterms:modified>
  <dc:title>汤川乡决算分析报告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