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DB9F49">
      <w:pPr>
        <w:snapToGrid w:val="0"/>
        <w:jc w:val="center"/>
        <w:rPr>
          <w:rFonts w:ascii="方正小标宋简体" w:eastAsia="方正小标宋简体"/>
          <w:sz w:val="44"/>
          <w:szCs w:val="44"/>
        </w:rPr>
      </w:pPr>
      <w:r>
        <w:rPr>
          <w:rFonts w:hint="eastAsia" w:ascii="方正小标宋简体" w:eastAsia="方正小标宋简体"/>
          <w:sz w:val="44"/>
          <w:szCs w:val="44"/>
        </w:rPr>
        <w:t>2024年度尤溪县政府决算</w:t>
      </w:r>
    </w:p>
    <w:p w14:paraId="61ECC03E">
      <w:pPr>
        <w:snapToGrid w:val="0"/>
        <w:spacing w:after="312" w:afterLines="100"/>
        <w:jc w:val="center"/>
        <w:rPr>
          <w:rFonts w:ascii="方正小标宋简体" w:eastAsia="方正小标宋简体"/>
          <w:sz w:val="44"/>
          <w:szCs w:val="44"/>
        </w:rPr>
      </w:pPr>
      <w:r>
        <w:rPr>
          <w:rFonts w:hint="eastAsia" w:ascii="方正小标宋简体" w:eastAsia="方正小标宋简体"/>
          <w:sz w:val="44"/>
          <w:szCs w:val="44"/>
        </w:rPr>
        <w:t>相关重要事项说明</w:t>
      </w:r>
    </w:p>
    <w:p w14:paraId="6FA6ADE5">
      <w:pPr>
        <w:spacing w:line="600" w:lineRule="exact"/>
        <w:ind w:firstLine="640" w:firstLineChars="200"/>
        <w:rPr>
          <w:rFonts w:ascii="黑体" w:hAnsi="黑体" w:eastAsia="黑体"/>
          <w:sz w:val="32"/>
          <w:szCs w:val="32"/>
        </w:rPr>
      </w:pPr>
      <w:r>
        <w:rPr>
          <w:rFonts w:hint="eastAsia" w:ascii="黑体" w:hAnsi="黑体" w:eastAsia="黑体"/>
          <w:sz w:val="32"/>
          <w:szCs w:val="32"/>
        </w:rPr>
        <w:t>一、</w:t>
      </w:r>
      <w:r>
        <w:rPr>
          <w:rFonts w:hint="eastAsia" w:ascii="黑体" w:hAnsi="黑体" w:eastAsia="黑体" w:cs="Arial"/>
          <w:kern w:val="0"/>
          <w:sz w:val="32"/>
          <w:szCs w:val="32"/>
        </w:rPr>
        <w:t>县本级支出决算说明</w:t>
      </w:r>
    </w:p>
    <w:p w14:paraId="2D931915">
      <w:pPr>
        <w:spacing w:line="600" w:lineRule="exact"/>
        <w:ind w:firstLine="640" w:firstLineChars="200"/>
        <w:rPr>
          <w:rFonts w:ascii="仿宋" w:hAnsi="仿宋" w:eastAsia="仿宋" w:cs="Arial"/>
          <w:kern w:val="0"/>
          <w:sz w:val="32"/>
          <w:szCs w:val="32"/>
        </w:rPr>
      </w:pPr>
      <w:r>
        <w:rPr>
          <w:rFonts w:hint="eastAsia" w:ascii="仿宋" w:hAnsi="仿宋" w:eastAsia="仿宋" w:cs="Arial"/>
          <w:kern w:val="0"/>
          <w:sz w:val="32"/>
          <w:szCs w:val="32"/>
        </w:rPr>
        <w:t>2024年度尤溪县本级一般公共预算支出决算数为</w:t>
      </w:r>
      <w:r>
        <w:rPr>
          <w:rFonts w:ascii="仿宋" w:hAnsi="仿宋" w:eastAsia="仿宋" w:cs="Arial"/>
          <w:kern w:val="0"/>
          <w:sz w:val="32"/>
          <w:szCs w:val="32"/>
        </w:rPr>
        <w:t>349334</w:t>
      </w:r>
      <w:r>
        <w:rPr>
          <w:rFonts w:hint="eastAsia" w:ascii="仿宋" w:hAnsi="仿宋" w:eastAsia="仿宋" w:cs="Arial"/>
          <w:kern w:val="0"/>
          <w:sz w:val="32"/>
          <w:szCs w:val="32"/>
        </w:rPr>
        <w:t>万元，比上年</w:t>
      </w:r>
      <w:r>
        <w:rPr>
          <w:rFonts w:hint="eastAsia" w:ascii="仿宋" w:hAnsi="仿宋" w:eastAsia="仿宋"/>
          <w:kern w:val="0"/>
          <w:sz w:val="32"/>
          <w:szCs w:val="32"/>
        </w:rPr>
        <w:t>增加15153万元，增长4.53%</w:t>
      </w:r>
      <w:r>
        <w:rPr>
          <w:rFonts w:hint="eastAsia" w:ascii="仿宋" w:hAnsi="仿宋" w:eastAsia="仿宋" w:cs="Arial"/>
          <w:kern w:val="0"/>
          <w:sz w:val="32"/>
          <w:szCs w:val="32"/>
        </w:rPr>
        <w:t>。具体情况如下（分款级科目表述）：</w:t>
      </w:r>
    </w:p>
    <w:p w14:paraId="00CCAEAB">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（一）201-一般公共服务支出17424万元，较上年减少258万元，下降1.46%。其中：</w:t>
      </w:r>
    </w:p>
    <w:p w14:paraId="0021DD65">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1.20101-人大事务785万元，较上年增加106万元，增长15.61%。主要原因是县人大办新增党政机关信创工作经费</w:t>
      </w:r>
      <w:r>
        <w:rPr>
          <w:rFonts w:ascii="仿宋" w:hAnsi="仿宋" w:eastAsia="仿宋"/>
          <w:kern w:val="0"/>
          <w:sz w:val="32"/>
          <w:szCs w:val="32"/>
        </w:rPr>
        <w:t>36.17</w:t>
      </w:r>
      <w:r>
        <w:rPr>
          <w:rFonts w:hint="eastAsia" w:ascii="仿宋" w:hAnsi="仿宋" w:eastAsia="仿宋"/>
          <w:kern w:val="0"/>
          <w:sz w:val="32"/>
          <w:szCs w:val="32"/>
        </w:rPr>
        <w:t>万元，公务车辆购置20万元，人员经费49.83万元。</w:t>
      </w:r>
    </w:p>
    <w:p w14:paraId="57C9AE23">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2.20102-政协事务566万元，较上年增加80万元，增长16.46%。主要原因是县政协办新增车辆购置28万元，编撰《尤溪长流》出版经费19.03万元，党政机关信创工作经费9.11万元，人员经费23.86万元。</w:t>
      </w:r>
    </w:p>
    <w:p w14:paraId="65C059DF">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3.20103-政府办公厅(室)及相关机构事务2756万元，较上年减少472万元，下降14.62%。主要原因是政务中心受让新办公场所经费减少350万元；机关后勤中心公务用车购置减少116万元。</w:t>
      </w:r>
    </w:p>
    <w:p w14:paraId="6C15CCAE">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4.20104-发展与改革事务831万元，较上年减少13万元，下降1.54%。主要原因是重大项目前期经费支出减少。</w:t>
      </w:r>
    </w:p>
    <w:p w14:paraId="12E8F6C7">
      <w:pPr>
        <w:spacing w:line="600" w:lineRule="exact"/>
        <w:ind w:firstLine="640" w:firstLineChars="200"/>
        <w:rPr>
          <w:rFonts w:ascii="仿宋" w:hAnsi="仿宋" w:eastAsia="仿宋"/>
          <w:kern w:val="0"/>
          <w:sz w:val="32"/>
          <w:szCs w:val="32"/>
          <w:shd w:val="clear" w:color="auto" w:fill="FFFFFF" w:themeFill="background1"/>
        </w:rPr>
      </w:pPr>
      <w:r>
        <w:rPr>
          <w:rFonts w:hint="eastAsia" w:ascii="仿宋" w:hAnsi="仿宋" w:eastAsia="仿宋"/>
          <w:kern w:val="0"/>
          <w:sz w:val="32"/>
          <w:szCs w:val="32"/>
        </w:rPr>
        <w:t>5.20105-统计信息事务450万元，较上年减少108万元，下降19.35%。主要原因是统计局</w:t>
      </w:r>
      <w:r>
        <w:rPr>
          <w:rFonts w:hint="eastAsia" w:ascii="仿宋" w:hAnsi="仿宋" w:eastAsia="仿宋"/>
          <w:kern w:val="0"/>
          <w:sz w:val="32"/>
          <w:szCs w:val="32"/>
          <w:shd w:val="clear" w:color="auto" w:fill="FFFFFF" w:themeFill="background1"/>
        </w:rPr>
        <w:t>人员经费中养老、</w:t>
      </w:r>
      <w:r>
        <w:rPr>
          <w:rFonts w:ascii="仿宋" w:hAnsi="仿宋" w:eastAsia="仿宋"/>
          <w:kern w:val="0"/>
          <w:sz w:val="32"/>
          <w:szCs w:val="32"/>
          <w:shd w:val="clear" w:color="auto" w:fill="FFFFFF" w:themeFill="background1"/>
        </w:rPr>
        <w:t>医疗</w:t>
      </w:r>
      <w:r>
        <w:rPr>
          <w:rFonts w:hint="eastAsia" w:ascii="仿宋" w:hAnsi="仿宋" w:eastAsia="仿宋"/>
          <w:kern w:val="0"/>
          <w:sz w:val="32"/>
          <w:szCs w:val="32"/>
          <w:shd w:val="clear" w:color="auto" w:fill="FFFFFF" w:themeFill="background1"/>
        </w:rPr>
        <w:t>等</w:t>
      </w:r>
      <w:r>
        <w:rPr>
          <w:rFonts w:ascii="仿宋" w:hAnsi="仿宋" w:eastAsia="仿宋"/>
          <w:kern w:val="0"/>
          <w:sz w:val="32"/>
          <w:szCs w:val="32"/>
          <w:shd w:val="clear" w:color="auto" w:fill="FFFFFF" w:themeFill="background1"/>
        </w:rPr>
        <w:t>支出</w:t>
      </w:r>
      <w:r>
        <w:rPr>
          <w:rFonts w:hint="eastAsia" w:ascii="仿宋" w:hAnsi="仿宋" w:eastAsia="仿宋"/>
          <w:kern w:val="0"/>
          <w:sz w:val="32"/>
          <w:szCs w:val="32"/>
          <w:shd w:val="clear" w:color="auto" w:fill="FFFFFF" w:themeFill="background1"/>
        </w:rPr>
        <w:t>列支</w:t>
      </w:r>
      <w:r>
        <w:rPr>
          <w:rFonts w:ascii="仿宋" w:hAnsi="仿宋" w:eastAsia="仿宋"/>
          <w:kern w:val="0"/>
          <w:sz w:val="32"/>
          <w:szCs w:val="32"/>
          <w:shd w:val="clear" w:color="auto" w:fill="FFFFFF" w:themeFill="background1"/>
        </w:rPr>
        <w:t>科目改变；</w:t>
      </w:r>
      <w:r>
        <w:rPr>
          <w:rFonts w:hint="eastAsia" w:ascii="仿宋" w:hAnsi="仿宋" w:eastAsia="仿宋"/>
          <w:kern w:val="0"/>
          <w:sz w:val="32"/>
          <w:szCs w:val="32"/>
          <w:shd w:val="clear" w:color="auto" w:fill="FFFFFF" w:themeFill="background1"/>
        </w:rPr>
        <w:t>第七次全国人口普查经费减少29.62万元，查队劳动力调查经费减少5万元及城乡住户调查经费减少</w:t>
      </w:r>
      <w:r>
        <w:rPr>
          <w:rFonts w:hint="eastAsia" w:ascii="仿宋" w:hAnsi="仿宋" w:eastAsia="仿宋"/>
          <w:kern w:val="0"/>
          <w:sz w:val="32"/>
          <w:szCs w:val="32"/>
        </w:rPr>
        <w:t>。</w:t>
      </w:r>
    </w:p>
    <w:p w14:paraId="313619B8">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6.20106-财政事务1180万元，较上年减少93万元，下降7.31%。主要原因是财政一体化信息建设经费减少57.36万元，非税收入收缴电子化和财政电子票据管理改革系统服务费减少35.06万元。</w:t>
      </w:r>
    </w:p>
    <w:p w14:paraId="2FD05FFD">
      <w:pPr>
        <w:spacing w:line="600" w:lineRule="exact"/>
        <w:ind w:firstLine="640" w:firstLineChars="200"/>
        <w:rPr>
          <w:rFonts w:ascii="仿宋" w:hAnsi="仿宋" w:eastAsia="仿宋"/>
          <w:color w:val="FF0000"/>
          <w:kern w:val="0"/>
          <w:sz w:val="32"/>
          <w:szCs w:val="32"/>
        </w:rPr>
      </w:pPr>
      <w:r>
        <w:rPr>
          <w:rFonts w:hint="eastAsia" w:ascii="仿宋" w:hAnsi="仿宋" w:eastAsia="仿宋"/>
          <w:kern w:val="0"/>
          <w:sz w:val="32"/>
          <w:szCs w:val="32"/>
        </w:rPr>
        <w:t>7.20107-税收事务898万元，较上年减少265万元，下降22.79%。</w:t>
      </w:r>
    </w:p>
    <w:p w14:paraId="0217BC52">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8.20108-审计事务477万元，较上年增加28万元，增长6.24%。主要原因是审计局审计宣传与扶贫、业务能力提升、政府投资审计咨询等业务经费增加11万元，人员经费增加。</w:t>
      </w:r>
    </w:p>
    <w:p w14:paraId="01146FB5">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9.20111-纪检监察事务1374万元，较上年增加353万元，增长34.57%。主要原因根据中央纪委加强基层纪检监察监督有关要求，实行纪委机关对派驻机构人、财、物直接领导、统一管理新增人员经费</w:t>
      </w:r>
      <w:r>
        <w:rPr>
          <w:rFonts w:hint="eastAsia" w:ascii="仿宋_GB2312" w:hAnsi="仿宋" w:eastAsia="仿宋_GB2312" w:cs="Arial"/>
          <w:kern w:val="0"/>
          <w:sz w:val="32"/>
          <w:szCs w:val="32"/>
        </w:rPr>
        <w:t>209.63万元</w:t>
      </w:r>
      <w:r>
        <w:rPr>
          <w:rFonts w:hint="eastAsia" w:ascii="仿宋" w:hAnsi="仿宋" w:eastAsia="仿宋"/>
          <w:kern w:val="0"/>
          <w:sz w:val="32"/>
          <w:szCs w:val="32"/>
        </w:rPr>
        <w:t>；因工作需要购置一部执法执勤用车</w:t>
      </w:r>
      <w:r>
        <w:rPr>
          <w:rFonts w:hint="eastAsia" w:ascii="仿宋_GB2312" w:hAnsi="仿宋" w:eastAsia="仿宋_GB2312" w:cs="Arial"/>
          <w:kern w:val="0"/>
          <w:sz w:val="32"/>
          <w:szCs w:val="32"/>
        </w:rPr>
        <w:t>20万元</w:t>
      </w:r>
      <w:r>
        <w:rPr>
          <w:rFonts w:hint="eastAsia" w:ascii="仿宋" w:hAnsi="仿宋" w:eastAsia="仿宋"/>
          <w:kern w:val="0"/>
          <w:sz w:val="32"/>
          <w:szCs w:val="32"/>
        </w:rPr>
        <w:t>；新增党政机关信创工作经费</w:t>
      </w:r>
      <w:r>
        <w:rPr>
          <w:rFonts w:hint="eastAsia" w:ascii="仿宋_GB2312" w:hAnsi="仿宋" w:eastAsia="仿宋_GB2312" w:cs="Arial"/>
          <w:kern w:val="0"/>
          <w:sz w:val="32"/>
          <w:szCs w:val="32"/>
        </w:rPr>
        <w:t>50.67万元</w:t>
      </w:r>
      <w:r>
        <w:rPr>
          <w:rFonts w:hint="eastAsia" w:ascii="仿宋" w:hAnsi="仿宋" w:eastAsia="仿宋"/>
          <w:kern w:val="0"/>
          <w:sz w:val="32"/>
          <w:szCs w:val="32"/>
        </w:rPr>
        <w:t>。</w:t>
      </w:r>
    </w:p>
    <w:p w14:paraId="4FE949AA">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10.20113-商贸事务2419万元，较上年增加485万元，增长25.08%。主要原因是2024年轻资产类企业奖励金支出增加。</w:t>
      </w:r>
    </w:p>
    <w:p w14:paraId="1C73CC23">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11.20125-港澳台事务67万元，较上年减少35万元，下降34.31%。主要原因是闽台民间交流经费减少9.6万元，第十四届海峡论坛活动经费减少25.4万元。</w:t>
      </w:r>
    </w:p>
    <w:p w14:paraId="2C99FFD8">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12.20126-档案事务170万元，较上年减少6万元，下降3.41%。主要原因是2024人员工资福利预算执行增(减)变动减少10.73万元。</w:t>
      </w:r>
    </w:p>
    <w:p w14:paraId="6490675D">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13.20128-民主党派及工商联事务122万元，较上年减少41万元，下降25.15%。主要原因是异地商会招商引资经费支出减少。</w:t>
      </w:r>
    </w:p>
    <w:p w14:paraId="18A8DB56">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14.20129-群众团体事务597万元，较上年增加17万元，增长2.93%。主要原因是总工会新增党政机关信创工作经费14.46万元、人员经费增加。</w:t>
      </w:r>
    </w:p>
    <w:p w14:paraId="321B72CE">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15.20131-党委办公厅(室)及相关机构事务1856万元，较上年减少317万元，下降14.59%。主要原因是机关党工委机构改革人员经费减少74.13万元、文明办机构改革减少人员减少75.88万元、新时代文明实践中心建设项目减少20万元，清道光《尤溪县志》编纂工作经费减少16万元、县委老干部局人员经费减少41.38万元、机关后勤中心人员经费减少9.31万元，战线工作部人员经费减少13.92万元。</w:t>
      </w:r>
    </w:p>
    <w:p w14:paraId="2432D298">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16.20132-组织事务428万元，较上年减少136万元，下降24.11%。主要原因是2024年村“两委”换届回引人才工作经费100.12万元和驻村任职干部工作经费减少24.83万元及学习贯彻习近平新时代中国特色社会主义思想主题教育工作经费减少11.05万元。</w:t>
      </w:r>
    </w:p>
    <w:p w14:paraId="4AAB42A4">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17.20133-宣传事务506万元，较上年增加225万元，增长80.07%。主要原因是新增第三届考亭论坛工作经费129.85万元，三明市第三届网络文化系列活动经费19.42万元，党政机关信创工作经费30.8万元，人员经费增加44.93万元。</w:t>
      </w:r>
    </w:p>
    <w:p w14:paraId="718BB753">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18.20134-统战事务232万元，较上年减少32万元，下降12.12%。主要原因是创建国家级新阶联教育基地工作经费减少5万元、宗教团体等工作经费减少8万元、人员经费减少。</w:t>
      </w:r>
    </w:p>
    <w:p w14:paraId="2C72DAD7">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19.20138-市场监督管理事务1609万元，较上年减少135万元，下降7.74%。主要原因是市场</w:t>
      </w:r>
      <w:r>
        <w:rPr>
          <w:rFonts w:hint="eastAsia" w:ascii="仿宋" w:hAnsi="仿宋" w:eastAsia="仿宋"/>
          <w:kern w:val="0"/>
          <w:sz w:val="32"/>
          <w:szCs w:val="32"/>
          <w:lang w:eastAsia="zh-CN"/>
        </w:rPr>
        <w:t>监督管理</w:t>
      </w:r>
      <w:r>
        <w:rPr>
          <w:rFonts w:hint="eastAsia" w:ascii="仿宋" w:hAnsi="仿宋" w:eastAsia="仿宋"/>
          <w:kern w:val="0"/>
          <w:sz w:val="32"/>
          <w:szCs w:val="32"/>
        </w:rPr>
        <w:t>局执法办案经费减少23万元，乡镇食品协管员工资减少17.82万元，食品安全监管</w:t>
      </w:r>
      <w:r>
        <w:rPr>
          <w:rFonts w:hint="eastAsia" w:ascii="仿宋" w:hAnsi="仿宋" w:eastAsia="仿宋"/>
          <w:kern w:val="0"/>
          <w:sz w:val="32"/>
          <w:szCs w:val="32"/>
          <w:lang w:eastAsia="zh-CN"/>
        </w:rPr>
        <w:t>及</w:t>
      </w:r>
      <w:r>
        <w:rPr>
          <w:rFonts w:hint="eastAsia" w:ascii="仿宋" w:hAnsi="仿宋" w:eastAsia="仿宋"/>
          <w:kern w:val="0"/>
          <w:sz w:val="32"/>
          <w:szCs w:val="32"/>
        </w:rPr>
        <w:t>抽查检验经费减少14.5万元，人员变动经费减少。</w:t>
      </w:r>
    </w:p>
    <w:p w14:paraId="352F85F2">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20.20199-其他一般公共服务支出101万元，较上年增加101万元，增长100.00%。主要原因是党政机关信创工作资金增加。</w:t>
      </w:r>
    </w:p>
    <w:p w14:paraId="0DD70974">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（二）203-国防支出179万元，较上年减少200万元，下降52.77%。其中</w:t>
      </w:r>
      <w:r>
        <w:rPr>
          <w:rFonts w:ascii="仿宋" w:hAnsi="仿宋" w:eastAsia="仿宋"/>
          <w:kern w:val="0"/>
          <w:sz w:val="32"/>
          <w:szCs w:val="32"/>
        </w:rPr>
        <w:t>：</w:t>
      </w:r>
    </w:p>
    <w:p w14:paraId="16C1C6EB">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1.20306-国防动员179万元，较上年减少200万元，下降52.77%。主要原因是人民武装部“四个秩序”规范化建设减少11.5万元。</w:t>
      </w:r>
    </w:p>
    <w:p w14:paraId="145E0352">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（三）204-公共安全支出14731万元，较上年减少180万元，下降1.21%。其中</w:t>
      </w:r>
      <w:r>
        <w:rPr>
          <w:rFonts w:ascii="仿宋" w:hAnsi="仿宋" w:eastAsia="仿宋"/>
          <w:kern w:val="0"/>
          <w:sz w:val="32"/>
          <w:szCs w:val="32"/>
        </w:rPr>
        <w:t>：</w:t>
      </w:r>
    </w:p>
    <w:p w14:paraId="30AE9094">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1.20401-武装警察部队0万元，较上年减少24万元，下降100.00%。主要原因是武警中队执勤、生活保障经费列支</w:t>
      </w:r>
      <w:r>
        <w:rPr>
          <w:rFonts w:ascii="仿宋" w:hAnsi="仿宋" w:eastAsia="仿宋"/>
          <w:kern w:val="0"/>
          <w:sz w:val="32"/>
          <w:szCs w:val="32"/>
        </w:rPr>
        <w:t>科目改变，</w:t>
      </w:r>
      <w:r>
        <w:rPr>
          <w:rFonts w:hint="eastAsia" w:ascii="仿宋" w:hAnsi="仿宋" w:eastAsia="仿宋"/>
          <w:kern w:val="0"/>
          <w:sz w:val="32"/>
          <w:szCs w:val="32"/>
        </w:rPr>
        <w:t>通过2040299</w:t>
      </w:r>
      <w:r>
        <w:rPr>
          <w:rFonts w:ascii="仿宋" w:hAnsi="仿宋" w:eastAsia="仿宋"/>
          <w:kern w:val="0"/>
          <w:sz w:val="32"/>
          <w:szCs w:val="32"/>
        </w:rPr>
        <w:t>-其他公安支出</w:t>
      </w:r>
      <w:r>
        <w:rPr>
          <w:rFonts w:hint="eastAsia" w:ascii="仿宋" w:hAnsi="仿宋" w:eastAsia="仿宋"/>
          <w:kern w:val="0"/>
          <w:sz w:val="32"/>
          <w:szCs w:val="32"/>
        </w:rPr>
        <w:t>列支。</w:t>
      </w:r>
    </w:p>
    <w:p w14:paraId="2CDD9C7D">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2.20402-公安12704万元，较上年增加142万元，增长1.13%。主要原因是辅警经费增加142万元。</w:t>
      </w:r>
    </w:p>
    <w:p w14:paraId="2948F615">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3.20404-检察700万元，较上年增加30万元，增长4.48%。主要原因是检察院技侦大楼建设经费增加30万元。</w:t>
      </w:r>
    </w:p>
    <w:p w14:paraId="07CE702E">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4.20405-法院77万元，较上年增加6万元，增长8.45%。主要原因是县法院矛盾纠纷多元化解工作专项经费增加6万元。</w:t>
      </w:r>
    </w:p>
    <w:p w14:paraId="276794CE">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5.20406-司法1200万元，较上年减少209万元，下降14.83%。主要原因是司法局业务用房建设工程款支付较上年减少209万元。</w:t>
      </w:r>
    </w:p>
    <w:p w14:paraId="607A9D76">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6.20499-其他公共安全支出50万元，较上年减少125万元，下降71.43%。主要原因是县公安局城关、坂面、西滨派出所业务装备建设补助经费减少80万元，转移支付资金减少45万元。</w:t>
      </w:r>
    </w:p>
    <w:p w14:paraId="1342A761">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（四）205-教育支出90656万元，较上年增加1807万元，增长2.03%。其中</w:t>
      </w:r>
      <w:r>
        <w:rPr>
          <w:rFonts w:ascii="仿宋" w:hAnsi="仿宋" w:eastAsia="仿宋"/>
          <w:kern w:val="0"/>
          <w:sz w:val="32"/>
          <w:szCs w:val="32"/>
        </w:rPr>
        <w:t>：</w:t>
      </w:r>
    </w:p>
    <w:p w14:paraId="5B4F31DE">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1.20501-教育管理事务1240万元，较上年减少51万元，下降3.95%。主要原因是人员工资福利预算执行增(减)变动减少37.54万元。</w:t>
      </w:r>
    </w:p>
    <w:p w14:paraId="01E496B3">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2.20502-普通教育83276万元，较上年增加1161万元，增长1.41%。</w:t>
      </w:r>
    </w:p>
    <w:p w14:paraId="0326079F">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3.20503-职业教育3030万元，较上年减少15万元，下降0.49%。</w:t>
      </w:r>
    </w:p>
    <w:p w14:paraId="075C0DE0">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4.20504-成人教育34万元，较上年增加34万元，增长100.00%。主要原因是增加终身教育经费34万元。</w:t>
      </w:r>
    </w:p>
    <w:p w14:paraId="6B99BE36">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5.20507-特殊教育435万元，较上年减少308万元，下降41.45%。主要原因是2024年减少2023年追补2020年至2022年随班就读残疾人生均公用经费320.61万元。</w:t>
      </w:r>
    </w:p>
    <w:p w14:paraId="29A87234">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6.20508-进修及培训1758万元，较上年增加533万元，增长43.51%。主要原因是增加教师继续教育经费457万元。</w:t>
      </w:r>
    </w:p>
    <w:p w14:paraId="6228FE10">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7.20509-教育费附加安排的支出779万元，较上年增加354万元，增长83.29%。主要原因是增加尤溪职业中专学校食堂后方边坡支护工程和电子商务项目资金72万元、中小学多媒体（班班通）设备和中小学计算机更新340.14万元等。</w:t>
      </w:r>
    </w:p>
    <w:p w14:paraId="100FA21B">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8.20599-其他教育支出104万元，较上年增加99万元，增长1980.00%。主要原因是增加文公书苑建设54万元、中小学多媒体教学（班班通）设备更新50万元。</w:t>
      </w:r>
    </w:p>
    <w:p w14:paraId="00AD4CD2">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（五）206-科学技术支出257万元，较上年减少637万元，下降71.25%。其中</w:t>
      </w:r>
      <w:r>
        <w:rPr>
          <w:rFonts w:ascii="仿宋" w:hAnsi="仿宋" w:eastAsia="仿宋"/>
          <w:kern w:val="0"/>
          <w:sz w:val="32"/>
          <w:szCs w:val="32"/>
        </w:rPr>
        <w:t>：</w:t>
      </w:r>
    </w:p>
    <w:p w14:paraId="641280E0">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1.20601-科学技术管理事务5万元，较上年增加5万元，增长100.00%。</w:t>
      </w:r>
    </w:p>
    <w:p w14:paraId="66A82F7C">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2.20603-应用研究0万元，较上年减少61万元，下降100.00%。主要原因是减少2021年度首次通过认定国家高新技术企业奖励资金54万元。</w:t>
      </w:r>
    </w:p>
    <w:p w14:paraId="09C5EC7F">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3.20604-技术研究与开发52万元，较上年减少598万元，下降92.00%。主要原因是减少企业研发经费投入分段补助资金326.66万元。</w:t>
      </w:r>
    </w:p>
    <w:p w14:paraId="4E6EAB3E">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4.20607-科学技术普及141万元，较上年增加2万元，增长1.44%。主要原因是增加县老科协第四次代表大会换届经费2.79万元。</w:t>
      </w:r>
    </w:p>
    <w:p w14:paraId="439F2A96">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5.20608-科技交流与合作30万元，较上年增加30万元，增长100.00%。</w:t>
      </w:r>
    </w:p>
    <w:p w14:paraId="68502E01">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6.20699-其他科学技术支出29万元，较上年减少15万元，下降34.09%。主要原因是2024年未支付2024年度福建省科技特派员工作经费18万元。</w:t>
      </w:r>
    </w:p>
    <w:p w14:paraId="583311F9">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（六）207-文化旅游体育与传媒支出3038万元，较上年减少268万元，下降8.11%。其中</w:t>
      </w:r>
      <w:r>
        <w:rPr>
          <w:rFonts w:ascii="仿宋" w:hAnsi="仿宋" w:eastAsia="仿宋"/>
          <w:kern w:val="0"/>
          <w:sz w:val="32"/>
          <w:szCs w:val="32"/>
        </w:rPr>
        <w:t>：</w:t>
      </w:r>
    </w:p>
    <w:p w14:paraId="0FE6911F">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1.20701-文化和旅游982万元，较上年减少327万元，下降24.98%。主要原因是减少朱子文化园提升改造及廉洁文化展示馆建设项目资金90万元、旅游产业发展专项资金70.75万元、春节街景布置经费68万元等。</w:t>
      </w:r>
    </w:p>
    <w:p w14:paraId="12439A32">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2.20702-文物718万元，较上年增加152万元，增长26.86%。主要原因是增加文物和世界文化遗产保护专项资金160.34万元。</w:t>
      </w:r>
    </w:p>
    <w:p w14:paraId="1287F04B">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3.20703-体育171万元，较上年增加15万元，增长9.62%。主要原因是减少县体育馆屋顶受灾维修经费10万元。</w:t>
      </w:r>
    </w:p>
    <w:p w14:paraId="0F4DCF6B">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4.20706-新闻出版电影0万元，较上年减少8万元，下降100.00%。主要原因是减少县电影公司歇业补助支出7.8万元。</w:t>
      </w:r>
    </w:p>
    <w:p w14:paraId="47AABA66">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5.20708-广播电视749万元，较上年减少273万元，下降26.71%。主要原因是减少县融媒体中心政府购买服务性岗位人员支出268.37万元。</w:t>
      </w:r>
    </w:p>
    <w:p w14:paraId="622D9C1E">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6.20799-其他文化旅游体育与传媒支出418万元，较上年增加173万元，增长70.61%。主要原因是增加县融媒体中心文创孵化园项目资金200万元。</w:t>
      </w:r>
    </w:p>
    <w:p w14:paraId="1CE3F8DA">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（七）208-社会保障和就业支出63043万元，较上年增加5597万元，增长9.74%。其中</w:t>
      </w:r>
      <w:r>
        <w:rPr>
          <w:rFonts w:ascii="仿宋" w:hAnsi="仿宋" w:eastAsia="仿宋"/>
          <w:kern w:val="0"/>
          <w:sz w:val="32"/>
          <w:szCs w:val="32"/>
        </w:rPr>
        <w:t>：</w:t>
      </w:r>
    </w:p>
    <w:p w14:paraId="00A96E68">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1.20801-人力资源和社会保障管理事务1489万元，较上年增加1万元，增长0.07%。</w:t>
      </w:r>
    </w:p>
    <w:p w14:paraId="423BB777">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2.20802-民政管理事务594万元，较上年减少64万元，下降9.73%。</w:t>
      </w:r>
    </w:p>
    <w:p w14:paraId="38ACE4AA">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3.20805-行政事业单位养老支出26216万元，较上年增加3491万元，增长15.36%。</w:t>
      </w:r>
    </w:p>
    <w:p w14:paraId="120DB65C">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4.20807-就业补助623万元，较上年增加67万元，增长12.05%。主要原因是2024年高校毕业生服务社区计划经费和省级高校毕业生“三支一扶”计划补助支出增加。</w:t>
      </w:r>
    </w:p>
    <w:p w14:paraId="054BFB9E">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5.20808-抚恤3731万元，较上年减少679万元，下降15.40%。</w:t>
      </w:r>
    </w:p>
    <w:p w14:paraId="405B7010">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6.20809-退役安置847万元，较上年增加517万元，增长156.67%。主要原因是本年度支付上一年度退役士兵一次性经济补助和大学生奖励金。</w:t>
      </w:r>
    </w:p>
    <w:p w14:paraId="7C568494">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7.20810-社会福利1414万元，较上年减少621万元，下降30.52%。主要原因是骨灰楼项目减少以及社会福利院项目已经完工。</w:t>
      </w:r>
    </w:p>
    <w:p w14:paraId="467DDA64">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8.20811-残疾人事业2280万元，较上年增加64万元，增长2.89%。主要原因是工资等人员支出增长。</w:t>
      </w:r>
    </w:p>
    <w:p w14:paraId="6E462ADF">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9.20819-最低生活保障188万元，较上年减少3680万元，下降95.14%。主要原因是困难群众资金统筹使用，列支20899科目。</w:t>
      </w:r>
    </w:p>
    <w:p w14:paraId="0E8A1445">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10.20820-临时救助0万元，较上年减少512万元，下降100.00%。主要原因是困难群众资金统筹使用，列支20899科目。</w:t>
      </w:r>
    </w:p>
    <w:p w14:paraId="15C02730">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11.20821-特困人员救助供养0万元，较上年减少981万元，下降100.00%。主要原因是困难群众资金统筹使用，列支20899科目。</w:t>
      </w:r>
    </w:p>
    <w:p w14:paraId="6D6764FF">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12.20826-财政对基本养老保险基金的补助17131万元，较上年增加2940万元，增长20.72%。主要原因是人数增加，补助标准提高。</w:t>
      </w:r>
    </w:p>
    <w:p w14:paraId="3088697A">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13.20828-退役军人管理事务145万元，较上年减少31万元，下降17.61%。主要原因是2024年度烈士纪念设施提升改造项目补助减少。</w:t>
      </w:r>
    </w:p>
    <w:p w14:paraId="5BEE6D38">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14.20830-财政代缴社会保险费支出221万元，较上年减少30万元，下降11.95%。主要原因是一部分代缴支出放在计生奖扶中支出。</w:t>
      </w:r>
    </w:p>
    <w:p w14:paraId="3F4CC789">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15.20899-其他社会保障和就业支出8164万元，较上年增加5115万元，增长167.76%。主要原因是困难群众资金统筹使用，列支20899科目。</w:t>
      </w:r>
    </w:p>
    <w:p w14:paraId="5D17BE2E">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（八）210-卫生健康支出24496万元，较上年减少3880万元，下降</w:t>
      </w:r>
      <w:r>
        <w:rPr>
          <w:rFonts w:ascii="仿宋" w:hAnsi="仿宋" w:eastAsia="仿宋"/>
          <w:kern w:val="0"/>
          <w:sz w:val="32"/>
          <w:szCs w:val="32"/>
        </w:rPr>
        <w:t>13.67</w:t>
      </w:r>
      <w:r>
        <w:rPr>
          <w:rFonts w:hint="eastAsia" w:ascii="仿宋" w:hAnsi="仿宋" w:eastAsia="仿宋"/>
          <w:kern w:val="0"/>
          <w:sz w:val="32"/>
          <w:szCs w:val="32"/>
        </w:rPr>
        <w:t>%。其中</w:t>
      </w:r>
      <w:r>
        <w:rPr>
          <w:rFonts w:ascii="仿宋" w:hAnsi="仿宋" w:eastAsia="仿宋"/>
          <w:kern w:val="0"/>
          <w:sz w:val="32"/>
          <w:szCs w:val="32"/>
        </w:rPr>
        <w:t>：</w:t>
      </w:r>
    </w:p>
    <w:p w14:paraId="7CFFB62B">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1.21001-卫生健康管理事务729万元，较上年减少3006万元，下降80.48%。主要原因是ppp项目资金减少。</w:t>
      </w:r>
    </w:p>
    <w:p w14:paraId="57093108">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2.21002-公立医院1970万元，较上年减少325万元，下降14.16%。主要原因是财政对县总院县域共同体能力提升和高质量发展项目资金投入减少。</w:t>
      </w:r>
    </w:p>
    <w:p w14:paraId="5ACA8273">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3.21003-基层医疗卫生机构5708万元，较上年增加645万元，增长12.74%。主要原因是村医生活补助及基本药物制度补助资金增加。</w:t>
      </w:r>
    </w:p>
    <w:p w14:paraId="38BAC4CC">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4.21004-公共卫生5295万元，较上年减少1920万元，下降26.61%。主要原因是2024年疫情投入减少。</w:t>
      </w:r>
    </w:p>
    <w:p w14:paraId="4F584245">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5.21007-计划生育事务1856万元，较上年增加1151万元，增长163.26%。主要原因是2023年的计生奖扶资金跨年度列支。</w:t>
      </w:r>
    </w:p>
    <w:p w14:paraId="510DBD55">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6.21011-行政事业单位医疗1576万元，较上年减少1246万元，下降44.15%。主要原因是医疗补助支出</w:t>
      </w:r>
      <w:r>
        <w:rPr>
          <w:rFonts w:ascii="仿宋" w:hAnsi="仿宋" w:eastAsia="仿宋"/>
          <w:kern w:val="0"/>
          <w:sz w:val="32"/>
          <w:szCs w:val="32"/>
        </w:rPr>
        <w:t>减少</w:t>
      </w:r>
      <w:r>
        <w:rPr>
          <w:rFonts w:hint="eastAsia" w:ascii="仿宋" w:hAnsi="仿宋" w:eastAsia="仿宋"/>
          <w:kern w:val="0"/>
          <w:sz w:val="32"/>
          <w:szCs w:val="32"/>
        </w:rPr>
        <w:t>。</w:t>
      </w:r>
    </w:p>
    <w:p w14:paraId="6E6D1A7A">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7.21012-财政对基本医疗保险基金的补助4541万元，较上年增加90万元，增长2.02%。</w:t>
      </w:r>
    </w:p>
    <w:p w14:paraId="0B2B1A7F">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8.21013-医疗救助838万元，较上年减少228万元，下降21.39%。主要原因是跨年度上缴市财政局。</w:t>
      </w:r>
    </w:p>
    <w:p w14:paraId="54CF4C61">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9.21014-优抚对象医疗79万元，较上年减少62万元，下降43.97%。主要原因是1-6级伤残军人医疗基数调整及医疗保险次数减少。</w:t>
      </w:r>
    </w:p>
    <w:p w14:paraId="62D6C180">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10.21015-医疗保障管理事务96万元，较上年增加66万元，增长220.00%。主要原因是2024年医疗服务与保障能力提升项目资金上级补助增加。</w:t>
      </w:r>
    </w:p>
    <w:p w14:paraId="14F32677">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11.21017-中医药事务105万元，较上年增加105万元，增长100.00%。主要原因是中医药事务项目功能科目调整。</w:t>
      </w:r>
    </w:p>
    <w:p w14:paraId="35718631">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12.21099-其他卫生健康支出1703万元，较上年增加885万元，增长108.19%。主要原因是2024年中医特色大楼建设项目资金较上年增加。</w:t>
      </w:r>
    </w:p>
    <w:p w14:paraId="2622C755">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（九）211-节能环保支出4487万元，较上年增加2011万元，增长81.22%。其中</w:t>
      </w:r>
      <w:r>
        <w:rPr>
          <w:rFonts w:ascii="仿宋" w:hAnsi="仿宋" w:eastAsia="仿宋"/>
          <w:kern w:val="0"/>
          <w:sz w:val="32"/>
          <w:szCs w:val="32"/>
        </w:rPr>
        <w:t>：</w:t>
      </w:r>
    </w:p>
    <w:p w14:paraId="2D29A781">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1.21101-环境保护管理事务56万元，较上年增加20万元，增长55.56%。主要原因是增加县级环保专项经费20万元。</w:t>
      </w:r>
    </w:p>
    <w:p w14:paraId="74EECE83">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2.21103-污染防治1086万元，较上年减少585万元，下降35.01%。主要原因是减少2022年度中央大气污染防治资金210万元，减少生活无害化垃圾、污水、污泥处理费242万元，减少城区餐厨垃圾收集运输处置服务费220万元。</w:t>
      </w:r>
    </w:p>
    <w:p w14:paraId="792B7806">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3.21104-自然生态保护119万元，较上年增加25万元，增长26.60%。主要原因是减少农村生活污水处理建设项目23万元。</w:t>
      </w:r>
    </w:p>
    <w:p w14:paraId="59CD9DDA">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4.21105-森林保护修复807万元，较上年增加639万元，增长380.36%。</w:t>
      </w:r>
    </w:p>
    <w:p w14:paraId="4DFF845A">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5.21110-能源节约利用50万元，较上年减少337万元，下降87.08%。</w:t>
      </w:r>
    </w:p>
    <w:p w14:paraId="47F698BF">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6.21199-其他节能环保支出2369万元，较上年增加2249万元，增长1874.17%。主要原因是增加国家生态文明试验区补助资金2259万元。</w:t>
      </w:r>
    </w:p>
    <w:p w14:paraId="64965588">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（十）212-城乡社区支出24795万元，较上年增加9995万元，增长67.53%。其中</w:t>
      </w:r>
      <w:r>
        <w:rPr>
          <w:rFonts w:ascii="仿宋" w:hAnsi="仿宋" w:eastAsia="仿宋"/>
          <w:kern w:val="0"/>
          <w:sz w:val="32"/>
          <w:szCs w:val="32"/>
        </w:rPr>
        <w:t>：</w:t>
      </w:r>
    </w:p>
    <w:p w14:paraId="7E6A2B17">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1.21201-城乡社区管理事务4497万元，较上年增加463万元，增长11.48%。主要原因是增加城区路灯、夜景、景观材料费、维护费及电费585万元。</w:t>
      </w:r>
    </w:p>
    <w:p w14:paraId="2FDB0C93">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2.21202-城乡社区规划与管理219万元，较上年增加204万元，增长1360.00%。主要原因是增加历史建筑测绘建档、保护图则相关经费70万元，传统村落集中连片保护利用示范县补助92万元，尤溪县数字城管平台升级改造项目50万元。</w:t>
      </w:r>
    </w:p>
    <w:p w14:paraId="1E5B245D">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3.21203-城乡社区公共设施9920万元，较上年增加3824万元，增长62.73%。主要原因是增加火车站站前广场管理费用及零星修缮费用400万元，福建省广播电视传输发射中心七0三台迁建工程3413万元。</w:t>
      </w:r>
    </w:p>
    <w:p w14:paraId="306D30E5">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4.21205-城乡社区环境卫生1426万元，较上年减少846万元，下降37.24%。主要原因是减少朱子古街环境整治费400万元，城区环卫作业外包服务费240万元，园林绿化日常养护费用90万元，封闭式小区二级环卫费124万元。</w:t>
      </w:r>
    </w:p>
    <w:p w14:paraId="4CEBAB8D">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5.21299-其他城乡社区支出8733万元，较上年增加6350万元，增长266.47%。主要原因是增加征迁资金。</w:t>
      </w:r>
    </w:p>
    <w:p w14:paraId="2B3CC831">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（十一）213-农林水支出44728万元，较上年增加8831万元，增长24.60%。其中</w:t>
      </w:r>
      <w:r>
        <w:rPr>
          <w:rFonts w:ascii="仿宋" w:hAnsi="仿宋" w:eastAsia="仿宋"/>
          <w:kern w:val="0"/>
          <w:sz w:val="32"/>
          <w:szCs w:val="32"/>
        </w:rPr>
        <w:t>：</w:t>
      </w:r>
    </w:p>
    <w:p w14:paraId="0D6C6149">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1.21301-农业农村13791万元，较上年增加1173万元，增长9.30%。主要原因是中央耕地建设与利用支出资金增加1005.63万元。</w:t>
      </w:r>
    </w:p>
    <w:p w14:paraId="621F107F">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2.21302-林业和草原12153万元，较上年减少3896万元，下降24.28%。主要原因是县级财政安排的森林生态效益补偿资金、森林资源培育资金减少。</w:t>
      </w:r>
    </w:p>
    <w:p w14:paraId="1760F42C">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3.21303-水利17834万元，较上年增加12477万元，增长232.91%。主要原因是新增国债项目支出增加和安全生态水系、水库除险加固、城乡供水一体化、移民扶持等项目完成工程量较多，支出增加。</w:t>
      </w:r>
    </w:p>
    <w:p w14:paraId="7F575530">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4.21305-巩固脱贫攻坚成果衔接乡村振兴483万元，较上年减少1038万元，下降68.24%。主要原因是衔接推进乡村振兴补助资金减少。</w:t>
      </w:r>
    </w:p>
    <w:p w14:paraId="7CFD6B7B">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5.21308-普惠金融发展支出232万元，较上年减少118万元，下降33.71%。主要原因是农村金融机构定向费用补助支出减少。</w:t>
      </w:r>
    </w:p>
    <w:p w14:paraId="051CE88F">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6.21399-其他农林水支出235万元，较上年增加235万元，增长100.00%。主要原因是农业农村局拨付中央预算内高标准项目省级配套资金115万元；尤溪县林业局拨付2022预算内林业站标准化建设项目资金120万元。</w:t>
      </w:r>
    </w:p>
    <w:p w14:paraId="135F6DC3">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（十二）214-交通运输支出20731万元，较上年减少17621万元，下降45.95%。其中</w:t>
      </w:r>
      <w:r>
        <w:rPr>
          <w:rFonts w:ascii="仿宋" w:hAnsi="仿宋" w:eastAsia="仿宋"/>
          <w:kern w:val="0"/>
          <w:sz w:val="32"/>
          <w:szCs w:val="32"/>
        </w:rPr>
        <w:t>：</w:t>
      </w:r>
    </w:p>
    <w:p w14:paraId="7C460444">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1.21401-公路水路运输19295万元，较上年增加14241万元，增长281.78%。主要原因是增加普通省道建设车购税补助项目1131万元、全省乡镇便捷通高速工程福银高速洋中互通及接线工程1815万元、车辆购置税用于农村公路建设项目资金1223万元、G235尤溪西城至新阳（大田界）车辆购置税补助地方建设项目资金11395万元。</w:t>
      </w:r>
    </w:p>
    <w:p w14:paraId="3A72D76A">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2.21403-民用航空运输100万元，较上年增加100万元，增长100.00%。</w:t>
      </w:r>
    </w:p>
    <w:p w14:paraId="51ED99FA">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3.21499-其他交通运输支出1336万元，较上年减少1008万元，下降43.00%。主要原因是减少公交运营补助322万元、农村客运和出租车行业油价补贴915万元。</w:t>
      </w:r>
    </w:p>
    <w:p w14:paraId="24065FC3">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（十三）215-资源勘探工业信息等支出6466万元，较上年减少802万元，下降</w:t>
      </w:r>
      <w:r>
        <w:rPr>
          <w:rFonts w:ascii="仿宋" w:hAnsi="仿宋" w:eastAsia="仿宋"/>
          <w:kern w:val="0"/>
          <w:sz w:val="32"/>
          <w:szCs w:val="32"/>
        </w:rPr>
        <w:t>11.03</w:t>
      </w:r>
      <w:r>
        <w:rPr>
          <w:rFonts w:hint="eastAsia" w:ascii="仿宋" w:hAnsi="仿宋" w:eastAsia="仿宋"/>
          <w:kern w:val="0"/>
          <w:sz w:val="32"/>
          <w:szCs w:val="32"/>
        </w:rPr>
        <w:t>%。其中</w:t>
      </w:r>
      <w:r>
        <w:rPr>
          <w:rFonts w:ascii="仿宋" w:hAnsi="仿宋" w:eastAsia="仿宋"/>
          <w:kern w:val="0"/>
          <w:sz w:val="32"/>
          <w:szCs w:val="32"/>
        </w:rPr>
        <w:t>：</w:t>
      </w:r>
    </w:p>
    <w:p w14:paraId="40B3BD5F">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1.21501-资源勘探开发30万元，较上年增加17万元，增长130.77%。主要原因是2024年尤溪县工业和信息化局2024年年度考核奖18万元</w:t>
      </w:r>
      <w:bookmarkStart w:id="0" w:name="_GoBack"/>
      <w:bookmarkEnd w:id="0"/>
      <w:r>
        <w:rPr>
          <w:rFonts w:hint="eastAsia" w:ascii="仿宋" w:hAnsi="仿宋" w:eastAsia="仿宋"/>
          <w:kern w:val="0"/>
          <w:sz w:val="32"/>
          <w:szCs w:val="32"/>
        </w:rPr>
        <w:t>通过本科目列支。</w:t>
      </w:r>
    </w:p>
    <w:p w14:paraId="08A880D5">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2.21502-制造业0万元，较上年减少1万元，下降100.00%。</w:t>
      </w:r>
    </w:p>
    <w:p w14:paraId="0712F778">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3.21503-建筑业0万元，较上年减少80万元，下降100.00%。</w:t>
      </w:r>
    </w:p>
    <w:p w14:paraId="1C58F28D">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4.21505-工业和信息产业监管598万元，较上年减少620万元，下降50.90%。主要原因是减少乡镇染整搬迁费用682万元。</w:t>
      </w:r>
    </w:p>
    <w:p w14:paraId="68DA57A8">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5.21507-国有资产监管19万元，较上年增加19万元，增长100.00%。主要原因是2024年新增尤溪县国有资产发展中心单位。</w:t>
      </w:r>
    </w:p>
    <w:p w14:paraId="30FFBA06">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6.21508-支持中小企业发展和管理支出1069万元，较上年减少2795万元，下降72.33%。主要原因是减少园区建设资金2481万元。</w:t>
      </w:r>
    </w:p>
    <w:p w14:paraId="74DF34DF">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7.21599-其他资源勘探工业信息等支出4750万元，较上年增加2658万元，增长127.06%。</w:t>
      </w:r>
    </w:p>
    <w:p w14:paraId="732F5419">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（十四）216-商业服务业等支出697万元，较上年减少1540万元，下降68.84%。其中</w:t>
      </w:r>
      <w:r>
        <w:rPr>
          <w:rFonts w:ascii="仿宋" w:hAnsi="仿宋" w:eastAsia="仿宋"/>
          <w:kern w:val="0"/>
          <w:sz w:val="32"/>
          <w:szCs w:val="32"/>
        </w:rPr>
        <w:t>：</w:t>
      </w:r>
    </w:p>
    <w:p w14:paraId="4A8E8F4E">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1.21602-商业流通事务294万元，较上年减少119万元，下降28.81%。主要原因是减少洋中供销社惠农综合服务中心项目50万元、化肥冬储贴息15万元、人员经费减少20万元，</w:t>
      </w:r>
      <w:r>
        <w:rPr>
          <w:rFonts w:ascii="仿宋" w:hAnsi="仿宋" w:eastAsia="仿宋"/>
          <w:kern w:val="0"/>
          <w:sz w:val="32"/>
          <w:szCs w:val="32"/>
        </w:rPr>
        <w:t>减少</w:t>
      </w:r>
      <w:r>
        <w:rPr>
          <w:rFonts w:hint="eastAsia" w:ascii="仿宋" w:hAnsi="仿宋" w:eastAsia="仿宋"/>
          <w:kern w:val="0"/>
          <w:sz w:val="32"/>
          <w:szCs w:val="32"/>
        </w:rPr>
        <w:t>区域协调发展项目支出。</w:t>
      </w:r>
    </w:p>
    <w:p w14:paraId="39D05D71">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2.21606-涉外发展服务支出403万元，较上年增加18万元，增长4.68%。主要原因是公平贸易项目支出增加。</w:t>
      </w:r>
    </w:p>
    <w:p w14:paraId="45CB6C25">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3.21699-其他商业服务业等支出0万元，较上年减少1439万元，下降100.00%。主要原因是减少福建光华百斯特食品开发有限公司猪肉为原料肉制品加工项目1000万元、交通物流业扶持资金（高速通行奖励资金）16.6万元，减少省级商务特色镇资金及闽中电子商务创业园租金支出。</w:t>
      </w:r>
    </w:p>
    <w:p w14:paraId="53139104">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（十五）217-金融支出94万元，较上年增加10万元，增长</w:t>
      </w:r>
      <w:r>
        <w:rPr>
          <w:rFonts w:ascii="仿宋" w:hAnsi="仿宋" w:eastAsia="仿宋"/>
          <w:kern w:val="0"/>
          <w:sz w:val="32"/>
          <w:szCs w:val="32"/>
        </w:rPr>
        <w:t>11.90</w:t>
      </w:r>
      <w:r>
        <w:rPr>
          <w:rFonts w:hint="eastAsia" w:ascii="仿宋" w:hAnsi="仿宋" w:eastAsia="仿宋"/>
          <w:kern w:val="0"/>
          <w:sz w:val="32"/>
          <w:szCs w:val="32"/>
        </w:rPr>
        <w:t>%。其中</w:t>
      </w:r>
      <w:r>
        <w:rPr>
          <w:rFonts w:ascii="仿宋" w:hAnsi="仿宋" w:eastAsia="仿宋"/>
          <w:kern w:val="0"/>
          <w:sz w:val="32"/>
          <w:szCs w:val="32"/>
        </w:rPr>
        <w:t>：</w:t>
      </w:r>
    </w:p>
    <w:p w14:paraId="08D1FFA7">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1.21701-金融部门行政支出80万元，较上年增加10万元，增长14.29%。主要原因是增加人行改革经费补助支出。</w:t>
      </w:r>
    </w:p>
    <w:p w14:paraId="334818BC">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2.21703-金融发展支出14万元，较上年增加14万元，增长100.00%。主要原因是增加融资担保风险补偿资金支出。</w:t>
      </w:r>
    </w:p>
    <w:p w14:paraId="40A5F10F">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3.21799-其他金融支出0万元，较上年减少14万元，下降100.00%。主要原因是本年该科目无支出。</w:t>
      </w:r>
    </w:p>
    <w:p w14:paraId="75CA16E7">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（十六）219-援助其他地区支出183万元，较上年增加5万元，增长2.81%。其中</w:t>
      </w:r>
      <w:r>
        <w:rPr>
          <w:rFonts w:ascii="仿宋" w:hAnsi="仿宋" w:eastAsia="仿宋"/>
          <w:kern w:val="0"/>
          <w:sz w:val="32"/>
          <w:szCs w:val="32"/>
        </w:rPr>
        <w:t>：</w:t>
      </w:r>
    </w:p>
    <w:p w14:paraId="0B6E5877">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1.21902-教育183万元，较上年增加5万元，增长2.81%。</w:t>
      </w:r>
    </w:p>
    <w:p w14:paraId="21EEB89F">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（十七）220-自然资源海洋气象等支出2507万元，较上年减少3458万元，下降57.97%。其中</w:t>
      </w:r>
      <w:r>
        <w:rPr>
          <w:rFonts w:ascii="仿宋" w:hAnsi="仿宋" w:eastAsia="仿宋"/>
          <w:kern w:val="0"/>
          <w:sz w:val="32"/>
          <w:szCs w:val="32"/>
        </w:rPr>
        <w:t>：</w:t>
      </w:r>
    </w:p>
    <w:p w14:paraId="4243A295">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1.22001-自然资源事务2411万元，较上年减少3345万元，下降58.11%。主要原因是减少征迁经费1015万元。</w:t>
      </w:r>
    </w:p>
    <w:p w14:paraId="6828F88F">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2.22005-气象事务96万元，较上年减少113万元，下降54.07%。主要原因是减少创建“中国天然氧吧”88万元、补助经费120万元。</w:t>
      </w:r>
    </w:p>
    <w:p w14:paraId="67FD3B57">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（十八）221-住房保障支出5763万元，较上年增加2295万元，增长66.18%。其中</w:t>
      </w:r>
      <w:r>
        <w:rPr>
          <w:rFonts w:ascii="仿宋" w:hAnsi="仿宋" w:eastAsia="仿宋"/>
          <w:kern w:val="0"/>
          <w:sz w:val="32"/>
          <w:szCs w:val="32"/>
        </w:rPr>
        <w:t>：</w:t>
      </w:r>
    </w:p>
    <w:p w14:paraId="0D5AE9D0">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1.22101-保障性安居工程支出3268万元，较上年增加2626万元，增长409.03%。主要原因是增加老旧小区改造2631万元。</w:t>
      </w:r>
    </w:p>
    <w:p w14:paraId="3D27008B">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2.22102-住房改革支出2495万元，较上年减少331万元，下降11.71%。</w:t>
      </w:r>
    </w:p>
    <w:p w14:paraId="6DE831A5">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（十九）222-粮油物资储备支出514万元，较上年增加44万元，增长9.36%。其中</w:t>
      </w:r>
      <w:r>
        <w:rPr>
          <w:rFonts w:ascii="仿宋" w:hAnsi="仿宋" w:eastAsia="仿宋"/>
          <w:kern w:val="0"/>
          <w:sz w:val="32"/>
          <w:szCs w:val="32"/>
        </w:rPr>
        <w:t>：</w:t>
      </w:r>
    </w:p>
    <w:p w14:paraId="79A3D60F">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1.22201-粮油物资事务499万元，较上年增加29万元，增长6.17%。主要原因是增加粮食风险基金、直补金29万元。</w:t>
      </w:r>
    </w:p>
    <w:p w14:paraId="6CDE6B23">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2.22205-重要商品储备15万元，较上年增加15万元，增长100.00%。</w:t>
      </w:r>
    </w:p>
    <w:p w14:paraId="6EA0CFB2">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（二十）224-灾害防治及应急管理支出14767万元，较上年增加12613万元，增长585.56%。其中</w:t>
      </w:r>
      <w:r>
        <w:rPr>
          <w:rFonts w:ascii="仿宋" w:hAnsi="仿宋" w:eastAsia="仿宋"/>
          <w:kern w:val="0"/>
          <w:sz w:val="32"/>
          <w:szCs w:val="32"/>
        </w:rPr>
        <w:t>：</w:t>
      </w:r>
    </w:p>
    <w:p w14:paraId="700E4B98">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1.22401-应急管理事务1922万元，较上年增加635万元，增长49.34%。主要原因是2024年支付福建省自然灾害应急能力提升工程预警指挥项目362万元，支付2024年安全生产专项资金423万元。</w:t>
      </w:r>
    </w:p>
    <w:p w14:paraId="7897AE32">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2.22402-消防救援事务865万元，较上年增加865万元，增长100.00%。</w:t>
      </w:r>
    </w:p>
    <w:p w14:paraId="77A2A747">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3.22405-地震事务0万元，较上年减少6万元，下降100.00%。</w:t>
      </w:r>
    </w:p>
    <w:p w14:paraId="5E63B54E">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4.22406-自然灾害防治919万元，较上年增加898万元，增长4276.19%。</w:t>
      </w:r>
    </w:p>
    <w:p w14:paraId="68D31FBB">
      <w:pPr>
        <w:spacing w:line="600" w:lineRule="exact"/>
        <w:ind w:firstLine="640" w:firstLineChars="200"/>
        <w:rPr>
          <w:rFonts w:ascii="仿宋" w:hAnsi="仿宋" w:eastAsia="仿宋"/>
          <w:color w:val="FF0000"/>
          <w:kern w:val="0"/>
          <w:sz w:val="32"/>
          <w:szCs w:val="32"/>
        </w:rPr>
      </w:pPr>
      <w:r>
        <w:rPr>
          <w:rFonts w:hint="eastAsia" w:ascii="仿宋" w:hAnsi="仿宋" w:eastAsia="仿宋"/>
          <w:kern w:val="0"/>
          <w:sz w:val="32"/>
          <w:szCs w:val="32"/>
        </w:rPr>
        <w:t>5.22407-自然灾害救灾及恢复重建支出11061万元，较上年增加10769万元，增长3688.01%。</w:t>
      </w:r>
    </w:p>
    <w:p w14:paraId="5EE44159">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6.22499-其他灾害防治及应急管理支出0万元，较上年减少548万元，下降100.00%。主要原因是2023年支付自然灾害救灾资金（洪涝灾害和地质灾害）548万元。</w:t>
      </w:r>
    </w:p>
    <w:p w14:paraId="09B39407">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（二十一）229-其他支出(类)1597万元，较上年增加840万元，增长110.96%。其中</w:t>
      </w:r>
      <w:r>
        <w:rPr>
          <w:rFonts w:ascii="仿宋" w:hAnsi="仿宋" w:eastAsia="仿宋"/>
          <w:kern w:val="0"/>
          <w:sz w:val="32"/>
          <w:szCs w:val="32"/>
        </w:rPr>
        <w:t>：</w:t>
      </w:r>
    </w:p>
    <w:p w14:paraId="41C0E355">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1.22999-其他支出(款)1597万元，较上年增加840万元，增长110.96%。主要原因是项目支出增加。</w:t>
      </w:r>
    </w:p>
    <w:p w14:paraId="694D2150">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（二十二）232-债务付息支出8152万元，较上年减少35万元，下降0.43%。其中</w:t>
      </w:r>
      <w:r>
        <w:rPr>
          <w:rFonts w:ascii="仿宋" w:hAnsi="仿宋" w:eastAsia="仿宋"/>
          <w:kern w:val="0"/>
          <w:sz w:val="32"/>
          <w:szCs w:val="32"/>
        </w:rPr>
        <w:t>：</w:t>
      </w:r>
    </w:p>
    <w:p w14:paraId="0EE661D2">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1.23203-地方政府一般债务付息支出8152万元，较上年减少35万元，下降0.43%。</w:t>
      </w:r>
    </w:p>
    <w:p w14:paraId="6F05B4E6">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（二十三）233-债务发行费用支出29万元，较上年减少16万元，下降35.56%。其中</w:t>
      </w:r>
      <w:r>
        <w:rPr>
          <w:rFonts w:ascii="仿宋" w:hAnsi="仿宋" w:eastAsia="仿宋"/>
          <w:kern w:val="0"/>
          <w:sz w:val="32"/>
          <w:szCs w:val="32"/>
        </w:rPr>
        <w:t>：</w:t>
      </w:r>
    </w:p>
    <w:p w14:paraId="5CC5BF32">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1.23303-地方政府一般债务发行费用支出29万元，较上年减少16万元，下降35.56%。</w:t>
      </w:r>
      <w:r>
        <w:rPr>
          <w:rFonts w:hint="eastAsia" w:ascii="仿宋_GB2312" w:hAnsi="仿宋" w:eastAsia="仿宋_GB2312" w:cs="Arial"/>
          <w:kern w:val="0"/>
          <w:sz w:val="32"/>
          <w:szCs w:val="32"/>
        </w:rPr>
        <w:t>主要原因是本年债务发行费用减少。</w:t>
      </w:r>
    </w:p>
    <w:p w14:paraId="332AC3E8">
      <w:pPr>
        <w:spacing w:line="600" w:lineRule="exact"/>
        <w:ind w:firstLine="640" w:firstLineChars="200"/>
        <w:rPr>
          <w:rFonts w:ascii="黑体" w:hAnsi="黑体" w:eastAsia="黑体"/>
          <w:sz w:val="32"/>
          <w:szCs w:val="32"/>
        </w:rPr>
      </w:pPr>
      <w:r>
        <w:rPr>
          <w:rFonts w:hint="eastAsia" w:ascii="黑体" w:hAnsi="黑体" w:eastAsia="黑体"/>
          <w:sz w:val="32"/>
          <w:szCs w:val="32"/>
        </w:rPr>
        <w:t>二、财政转移支付安排情况</w:t>
      </w:r>
    </w:p>
    <w:p w14:paraId="155D5E3B">
      <w:pPr>
        <w:spacing w:line="600" w:lineRule="exact"/>
        <w:ind w:firstLine="640" w:firstLineChars="200"/>
        <w:rPr>
          <w:rFonts w:ascii="仿宋" w:hAnsi="仿宋" w:eastAsia="仿宋" w:cs="Arial"/>
          <w:kern w:val="0"/>
          <w:sz w:val="32"/>
          <w:szCs w:val="32"/>
        </w:rPr>
      </w:pPr>
      <w:r>
        <w:rPr>
          <w:rFonts w:hint="eastAsia" w:ascii="仿宋" w:hAnsi="仿宋" w:eastAsia="仿宋" w:cs="Arial"/>
          <w:kern w:val="0"/>
          <w:sz w:val="32"/>
          <w:szCs w:val="32"/>
        </w:rPr>
        <w:t>2</w:t>
      </w:r>
      <w:r>
        <w:rPr>
          <w:rFonts w:ascii="仿宋" w:hAnsi="仿宋" w:eastAsia="仿宋" w:cs="Arial"/>
          <w:kern w:val="0"/>
          <w:sz w:val="32"/>
          <w:szCs w:val="32"/>
        </w:rPr>
        <w:t>024</w:t>
      </w:r>
      <w:r>
        <w:rPr>
          <w:rFonts w:hint="eastAsia" w:ascii="仿宋" w:hAnsi="仿宋" w:eastAsia="仿宋" w:cs="Arial"/>
          <w:kern w:val="0"/>
          <w:sz w:val="32"/>
          <w:szCs w:val="32"/>
        </w:rPr>
        <w:t>年度尤溪县对下税收返还和转移支付决算数为0万元，较上年</w:t>
      </w:r>
      <w:r>
        <w:rPr>
          <w:rFonts w:hint="eastAsia" w:ascii="仿宋" w:hAnsi="仿宋" w:eastAsia="仿宋"/>
          <w:kern w:val="0"/>
          <w:sz w:val="32"/>
          <w:szCs w:val="32"/>
        </w:rPr>
        <w:t>增加0万元，增长0%</w:t>
      </w:r>
      <w:r>
        <w:rPr>
          <w:rFonts w:hint="eastAsia" w:ascii="仿宋" w:hAnsi="仿宋" w:eastAsia="仿宋" w:cs="Arial"/>
          <w:kern w:val="0"/>
          <w:sz w:val="32"/>
          <w:szCs w:val="32"/>
        </w:rPr>
        <w:t>。具体情况如下：</w:t>
      </w:r>
    </w:p>
    <w:p w14:paraId="39D8ED3B">
      <w:pPr>
        <w:spacing w:line="600" w:lineRule="exact"/>
        <w:ind w:firstLine="640" w:firstLineChars="200"/>
        <w:rPr>
          <w:rStyle w:val="8"/>
          <w:rFonts w:ascii="楷体" w:hAnsi="楷体" w:eastAsia="楷体" w:cs="Arial"/>
          <w:kern w:val="0"/>
          <w:sz w:val="32"/>
          <w:szCs w:val="32"/>
        </w:rPr>
      </w:pPr>
      <w:r>
        <w:rPr>
          <w:rFonts w:hint="eastAsia" w:ascii="楷体" w:hAnsi="楷体" w:eastAsia="楷体" w:cs="Arial"/>
          <w:kern w:val="0"/>
          <w:sz w:val="32"/>
          <w:szCs w:val="32"/>
        </w:rPr>
        <w:t>（一）</w:t>
      </w:r>
      <w:r>
        <w:rPr>
          <w:rStyle w:val="8"/>
          <w:rFonts w:hint="eastAsia" w:ascii="楷体" w:hAnsi="楷体" w:eastAsia="楷体" w:cs="Arial"/>
          <w:b w:val="0"/>
          <w:kern w:val="0"/>
          <w:sz w:val="32"/>
          <w:szCs w:val="32"/>
        </w:rPr>
        <w:t>税收返还</w:t>
      </w:r>
    </w:p>
    <w:p w14:paraId="25B187A0">
      <w:pPr>
        <w:spacing w:line="600" w:lineRule="exact"/>
        <w:ind w:firstLine="640" w:firstLineChars="200"/>
        <w:rPr>
          <w:rFonts w:ascii="仿宋" w:hAnsi="仿宋" w:eastAsia="仿宋" w:cs="Arial"/>
          <w:kern w:val="0"/>
          <w:sz w:val="32"/>
          <w:szCs w:val="32"/>
        </w:rPr>
      </w:pPr>
      <w:r>
        <w:rPr>
          <w:rFonts w:hint="eastAsia" w:ascii="仿宋" w:hAnsi="仿宋" w:eastAsia="仿宋" w:cs="Arial"/>
          <w:kern w:val="0"/>
          <w:sz w:val="32"/>
          <w:szCs w:val="32"/>
        </w:rPr>
        <w:t>2</w:t>
      </w:r>
      <w:r>
        <w:rPr>
          <w:rFonts w:ascii="仿宋" w:hAnsi="仿宋" w:eastAsia="仿宋" w:cs="Arial"/>
          <w:kern w:val="0"/>
          <w:sz w:val="32"/>
          <w:szCs w:val="32"/>
        </w:rPr>
        <w:t>024</w:t>
      </w:r>
      <w:r>
        <w:rPr>
          <w:rFonts w:hint="eastAsia" w:ascii="仿宋" w:hAnsi="仿宋" w:eastAsia="仿宋" w:cs="Arial"/>
          <w:kern w:val="0"/>
          <w:sz w:val="32"/>
          <w:szCs w:val="32"/>
        </w:rPr>
        <w:t>年度尤溪县对下税收返还决算数为0万元，较上年增</w:t>
      </w:r>
      <w:r>
        <w:rPr>
          <w:rFonts w:hint="eastAsia" w:ascii="仿宋" w:hAnsi="仿宋" w:eastAsia="仿宋"/>
          <w:kern w:val="0"/>
          <w:sz w:val="32"/>
          <w:szCs w:val="32"/>
        </w:rPr>
        <w:t>加0万元，增长0%</w:t>
      </w:r>
      <w:r>
        <w:rPr>
          <w:rFonts w:hint="eastAsia" w:ascii="仿宋" w:hAnsi="仿宋" w:eastAsia="仿宋" w:cs="Arial"/>
          <w:kern w:val="0"/>
          <w:sz w:val="32"/>
          <w:szCs w:val="32"/>
        </w:rPr>
        <w:t>。具体情况如下（分项目表述）：</w:t>
      </w:r>
    </w:p>
    <w:p w14:paraId="532551DC">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1.</w:t>
      </w:r>
      <w:r>
        <w:rPr>
          <w:rFonts w:hint="eastAsia" w:ascii="仿宋" w:hAnsi="仿宋" w:eastAsia="仿宋" w:cs="Arial"/>
          <w:kern w:val="0"/>
          <w:sz w:val="32"/>
          <w:szCs w:val="32"/>
        </w:rPr>
        <w:t>所得税基数返还支出</w:t>
      </w:r>
      <w:r>
        <w:rPr>
          <w:rFonts w:hint="eastAsia" w:ascii="仿宋" w:hAnsi="仿宋" w:eastAsia="仿宋"/>
          <w:kern w:val="0"/>
          <w:sz w:val="32"/>
          <w:szCs w:val="32"/>
        </w:rPr>
        <w:t>0万元，较</w:t>
      </w:r>
      <w:r>
        <w:rPr>
          <w:rFonts w:hint="eastAsia" w:ascii="仿宋" w:hAnsi="仿宋" w:eastAsia="仿宋" w:cs="Arial"/>
          <w:kern w:val="0"/>
          <w:sz w:val="32"/>
          <w:szCs w:val="32"/>
        </w:rPr>
        <w:t>上年</w:t>
      </w:r>
      <w:r>
        <w:rPr>
          <w:rFonts w:hint="eastAsia" w:ascii="仿宋" w:hAnsi="仿宋" w:eastAsia="仿宋"/>
          <w:kern w:val="0"/>
          <w:sz w:val="32"/>
          <w:szCs w:val="32"/>
        </w:rPr>
        <w:t>增加0万元，增长0%。</w:t>
      </w:r>
    </w:p>
    <w:p w14:paraId="235213F4">
      <w:pPr>
        <w:spacing w:line="600" w:lineRule="exact"/>
        <w:ind w:firstLine="640" w:firstLineChars="200"/>
        <w:rPr>
          <w:rFonts w:ascii="仿宋" w:hAnsi="仿宋" w:eastAsia="仿宋"/>
          <w:b/>
          <w:sz w:val="32"/>
          <w:szCs w:val="32"/>
        </w:rPr>
      </w:pPr>
      <w:r>
        <w:rPr>
          <w:rFonts w:hint="eastAsia" w:ascii="仿宋" w:hAnsi="仿宋" w:eastAsia="仿宋" w:cs="Arial"/>
          <w:kern w:val="0"/>
          <w:sz w:val="32"/>
          <w:szCs w:val="32"/>
        </w:rPr>
        <w:t>2.成品油税费改革税收返还支出</w:t>
      </w:r>
      <w:r>
        <w:rPr>
          <w:rFonts w:hint="eastAsia" w:ascii="仿宋" w:hAnsi="仿宋" w:eastAsia="仿宋"/>
          <w:kern w:val="0"/>
          <w:sz w:val="32"/>
          <w:szCs w:val="32"/>
        </w:rPr>
        <w:t>0万元，较</w:t>
      </w:r>
      <w:r>
        <w:rPr>
          <w:rFonts w:hint="eastAsia" w:ascii="仿宋" w:hAnsi="仿宋" w:eastAsia="仿宋" w:cs="Arial"/>
          <w:kern w:val="0"/>
          <w:sz w:val="32"/>
          <w:szCs w:val="32"/>
        </w:rPr>
        <w:t>上年</w:t>
      </w:r>
      <w:r>
        <w:rPr>
          <w:rFonts w:hint="eastAsia" w:ascii="仿宋" w:hAnsi="仿宋" w:eastAsia="仿宋"/>
          <w:kern w:val="0"/>
          <w:sz w:val="32"/>
          <w:szCs w:val="32"/>
        </w:rPr>
        <w:t>增加0万元，增长0%。</w:t>
      </w:r>
    </w:p>
    <w:p w14:paraId="24A2DEEC">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3.</w:t>
      </w:r>
      <w:r>
        <w:rPr>
          <w:rFonts w:hint="eastAsia" w:ascii="仿宋" w:hAnsi="仿宋" w:eastAsia="仿宋" w:cs="Arial"/>
          <w:kern w:val="0"/>
          <w:sz w:val="32"/>
          <w:szCs w:val="32"/>
        </w:rPr>
        <w:t>增值税返还支出</w:t>
      </w:r>
      <w:r>
        <w:rPr>
          <w:rFonts w:hint="eastAsia" w:ascii="仿宋" w:hAnsi="仿宋" w:eastAsia="仿宋"/>
          <w:kern w:val="0"/>
          <w:sz w:val="32"/>
          <w:szCs w:val="32"/>
        </w:rPr>
        <w:t>0万元，较</w:t>
      </w:r>
      <w:r>
        <w:rPr>
          <w:rFonts w:hint="eastAsia" w:ascii="仿宋" w:hAnsi="仿宋" w:eastAsia="仿宋" w:cs="Arial"/>
          <w:kern w:val="0"/>
          <w:sz w:val="32"/>
          <w:szCs w:val="32"/>
        </w:rPr>
        <w:t>上年</w:t>
      </w:r>
      <w:r>
        <w:rPr>
          <w:rFonts w:hint="eastAsia" w:ascii="仿宋" w:hAnsi="仿宋" w:eastAsia="仿宋"/>
          <w:kern w:val="0"/>
          <w:sz w:val="32"/>
          <w:szCs w:val="32"/>
        </w:rPr>
        <w:t>增加0万元，增长0%。、</w:t>
      </w:r>
    </w:p>
    <w:p w14:paraId="0239D3D1">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4.</w:t>
      </w:r>
      <w:r>
        <w:rPr>
          <w:rFonts w:hint="eastAsia" w:ascii="仿宋" w:hAnsi="仿宋" w:eastAsia="仿宋" w:cs="Arial"/>
          <w:kern w:val="0"/>
          <w:sz w:val="32"/>
          <w:szCs w:val="32"/>
        </w:rPr>
        <w:t>消费税返还支出</w:t>
      </w:r>
      <w:r>
        <w:rPr>
          <w:rFonts w:hint="eastAsia" w:ascii="仿宋" w:hAnsi="仿宋" w:eastAsia="仿宋"/>
          <w:kern w:val="0"/>
          <w:sz w:val="32"/>
          <w:szCs w:val="32"/>
        </w:rPr>
        <w:t>0元，较</w:t>
      </w:r>
      <w:r>
        <w:rPr>
          <w:rFonts w:hint="eastAsia" w:ascii="仿宋" w:hAnsi="仿宋" w:eastAsia="仿宋" w:cs="Arial"/>
          <w:kern w:val="0"/>
          <w:sz w:val="32"/>
          <w:szCs w:val="32"/>
        </w:rPr>
        <w:t>上年</w:t>
      </w:r>
      <w:r>
        <w:rPr>
          <w:rFonts w:hint="eastAsia" w:ascii="仿宋" w:hAnsi="仿宋" w:eastAsia="仿宋"/>
          <w:kern w:val="0"/>
          <w:sz w:val="32"/>
          <w:szCs w:val="32"/>
        </w:rPr>
        <w:t>增加0万元，增长0%。</w:t>
      </w:r>
    </w:p>
    <w:p w14:paraId="3DFB9DB9">
      <w:pPr>
        <w:spacing w:line="600" w:lineRule="exact"/>
        <w:ind w:firstLine="640" w:firstLineChars="200"/>
        <w:rPr>
          <w:rFonts w:ascii="仿宋" w:hAnsi="仿宋" w:eastAsia="仿宋"/>
          <w:kern w:val="0"/>
          <w:sz w:val="32"/>
          <w:szCs w:val="32"/>
        </w:rPr>
      </w:pPr>
      <w:r>
        <w:rPr>
          <w:rFonts w:hint="eastAsia" w:ascii="仿宋" w:hAnsi="仿宋" w:eastAsia="仿宋"/>
          <w:kern w:val="0"/>
          <w:sz w:val="32"/>
          <w:szCs w:val="32"/>
        </w:rPr>
        <w:t>5.</w:t>
      </w:r>
      <w:r>
        <w:rPr>
          <w:rFonts w:hint="eastAsia" w:ascii="仿宋" w:hAnsi="仿宋" w:eastAsia="仿宋" w:cs="Arial"/>
          <w:kern w:val="0"/>
          <w:sz w:val="32"/>
          <w:szCs w:val="32"/>
        </w:rPr>
        <w:t>增值税“五五分享”税收返还支出0万元，较上年增加0万元，增长0%。</w:t>
      </w:r>
    </w:p>
    <w:p w14:paraId="662BB70F">
      <w:pPr>
        <w:spacing w:line="600" w:lineRule="exact"/>
        <w:ind w:firstLine="640" w:firstLineChars="200"/>
        <w:rPr>
          <w:rStyle w:val="8"/>
          <w:rFonts w:ascii="楷体" w:hAnsi="楷体" w:eastAsia="楷体" w:cs="Arial"/>
          <w:b w:val="0"/>
          <w:kern w:val="0"/>
          <w:sz w:val="32"/>
          <w:szCs w:val="32"/>
        </w:rPr>
      </w:pPr>
      <w:r>
        <w:rPr>
          <w:rFonts w:hint="eastAsia" w:ascii="楷体" w:hAnsi="楷体" w:eastAsia="楷体" w:cs="Arial"/>
          <w:kern w:val="0"/>
          <w:sz w:val="32"/>
          <w:szCs w:val="32"/>
        </w:rPr>
        <w:t>（二）</w:t>
      </w:r>
      <w:r>
        <w:rPr>
          <w:rStyle w:val="8"/>
          <w:rFonts w:hint="eastAsia" w:ascii="楷体" w:hAnsi="楷体" w:eastAsia="楷体" w:cs="Arial"/>
          <w:b w:val="0"/>
          <w:kern w:val="0"/>
          <w:sz w:val="32"/>
          <w:szCs w:val="32"/>
        </w:rPr>
        <w:t>一般性转移支付</w:t>
      </w:r>
    </w:p>
    <w:p w14:paraId="71D82D02">
      <w:pPr>
        <w:spacing w:line="600" w:lineRule="exact"/>
        <w:ind w:firstLine="640" w:firstLineChars="200"/>
        <w:rPr>
          <w:rFonts w:ascii="仿宋" w:hAnsi="仿宋" w:eastAsia="仿宋"/>
          <w:kern w:val="0"/>
          <w:sz w:val="32"/>
          <w:szCs w:val="32"/>
        </w:rPr>
      </w:pPr>
      <w:r>
        <w:rPr>
          <w:rFonts w:hint="eastAsia" w:ascii="仿宋" w:hAnsi="仿宋" w:eastAsia="仿宋" w:cs="Arial"/>
          <w:kern w:val="0"/>
          <w:sz w:val="32"/>
          <w:szCs w:val="32"/>
        </w:rPr>
        <w:t>2</w:t>
      </w:r>
      <w:r>
        <w:rPr>
          <w:rFonts w:ascii="仿宋" w:hAnsi="仿宋" w:eastAsia="仿宋" w:cs="Arial"/>
          <w:kern w:val="0"/>
          <w:sz w:val="32"/>
          <w:szCs w:val="32"/>
        </w:rPr>
        <w:t>024</w:t>
      </w:r>
      <w:r>
        <w:rPr>
          <w:rFonts w:hint="eastAsia" w:ascii="仿宋" w:hAnsi="仿宋" w:eastAsia="仿宋" w:cs="Arial"/>
          <w:kern w:val="0"/>
          <w:sz w:val="32"/>
          <w:szCs w:val="32"/>
        </w:rPr>
        <w:t>年度尤溪县对下一般转移支付决算数为0万元，较上年增加</w:t>
      </w:r>
      <w:r>
        <w:rPr>
          <w:rFonts w:hint="eastAsia" w:ascii="仿宋" w:hAnsi="仿宋" w:eastAsia="仿宋"/>
          <w:kern w:val="0"/>
          <w:sz w:val="32"/>
          <w:szCs w:val="32"/>
        </w:rPr>
        <w:t>0万元，增长0%</w:t>
      </w:r>
      <w:r>
        <w:rPr>
          <w:rFonts w:hint="eastAsia" w:ascii="仿宋" w:hAnsi="仿宋" w:eastAsia="仿宋" w:cs="Arial"/>
          <w:kern w:val="0"/>
          <w:sz w:val="32"/>
          <w:szCs w:val="32"/>
        </w:rPr>
        <w:t>。</w:t>
      </w:r>
    </w:p>
    <w:p w14:paraId="24041955">
      <w:pPr>
        <w:spacing w:line="600" w:lineRule="exact"/>
        <w:ind w:firstLine="640" w:firstLineChars="200"/>
        <w:rPr>
          <w:rStyle w:val="8"/>
          <w:rFonts w:ascii="楷体" w:hAnsi="楷体" w:eastAsia="楷体" w:cs="Arial"/>
          <w:kern w:val="0"/>
          <w:sz w:val="32"/>
          <w:szCs w:val="32"/>
        </w:rPr>
      </w:pPr>
      <w:r>
        <w:rPr>
          <w:rFonts w:hint="eastAsia" w:ascii="楷体" w:hAnsi="楷体" w:eastAsia="楷体" w:cs="Arial"/>
          <w:kern w:val="0"/>
          <w:sz w:val="32"/>
          <w:szCs w:val="32"/>
        </w:rPr>
        <w:t>（三）</w:t>
      </w:r>
      <w:r>
        <w:rPr>
          <w:rStyle w:val="8"/>
          <w:rFonts w:hint="eastAsia" w:ascii="楷体" w:hAnsi="楷体" w:eastAsia="楷体" w:cs="Arial"/>
          <w:b w:val="0"/>
          <w:kern w:val="0"/>
          <w:sz w:val="32"/>
          <w:szCs w:val="32"/>
        </w:rPr>
        <w:t>专项转移支付</w:t>
      </w:r>
    </w:p>
    <w:p w14:paraId="0765DDCD">
      <w:pPr>
        <w:spacing w:line="600" w:lineRule="exact"/>
        <w:ind w:firstLine="640" w:firstLineChars="200"/>
        <w:rPr>
          <w:rFonts w:ascii="仿宋" w:hAnsi="仿宋" w:eastAsia="仿宋"/>
          <w:kern w:val="0"/>
          <w:sz w:val="32"/>
          <w:szCs w:val="32"/>
        </w:rPr>
      </w:pPr>
      <w:r>
        <w:rPr>
          <w:rFonts w:hint="eastAsia" w:ascii="仿宋" w:hAnsi="仿宋" w:eastAsia="仿宋" w:cs="Arial"/>
          <w:kern w:val="0"/>
          <w:sz w:val="32"/>
          <w:szCs w:val="32"/>
        </w:rPr>
        <w:t>2024年度尤溪县对下专项转移支付决算数为0万元，比上年增</w:t>
      </w:r>
      <w:r>
        <w:rPr>
          <w:rFonts w:hint="eastAsia" w:ascii="仿宋" w:hAnsi="仿宋" w:eastAsia="仿宋"/>
          <w:kern w:val="0"/>
          <w:sz w:val="32"/>
          <w:szCs w:val="32"/>
        </w:rPr>
        <w:t>加0万元，增长0%</w:t>
      </w:r>
      <w:r>
        <w:rPr>
          <w:rFonts w:hint="eastAsia" w:ascii="仿宋" w:hAnsi="仿宋" w:eastAsia="仿宋" w:cs="Arial"/>
          <w:kern w:val="0"/>
          <w:sz w:val="32"/>
          <w:szCs w:val="32"/>
        </w:rPr>
        <w:t>。</w:t>
      </w:r>
    </w:p>
    <w:p w14:paraId="13D2BB23">
      <w:pPr>
        <w:spacing w:line="600" w:lineRule="exact"/>
        <w:ind w:firstLine="640" w:firstLineChars="200"/>
        <w:rPr>
          <w:rFonts w:ascii="黑体" w:hAnsi="黑体" w:eastAsia="黑体"/>
          <w:sz w:val="32"/>
          <w:szCs w:val="32"/>
        </w:rPr>
      </w:pPr>
      <w:r>
        <w:rPr>
          <w:rFonts w:hint="eastAsia" w:ascii="黑体" w:hAnsi="黑体" w:eastAsia="黑体"/>
          <w:sz w:val="32"/>
          <w:szCs w:val="32"/>
        </w:rPr>
        <w:t>三、举借政府债务情况</w:t>
      </w:r>
    </w:p>
    <w:p w14:paraId="2F14D789">
      <w:pPr>
        <w:pStyle w:val="2"/>
        <w:spacing w:line="600" w:lineRule="exact"/>
        <w:ind w:firstLine="616"/>
        <w:rPr>
          <w:rFonts w:ascii="楷体" w:hAnsi="楷体" w:eastAsia="楷体" w:cs="楷体"/>
          <w:b w:val="0"/>
          <w:bCs/>
          <w:snapToGrid w:val="0"/>
          <w:spacing w:val="-6"/>
          <w:kern w:val="0"/>
          <w:sz w:val="32"/>
        </w:rPr>
      </w:pPr>
      <w:r>
        <w:rPr>
          <w:rFonts w:hint="eastAsia" w:ascii="楷体" w:hAnsi="楷体" w:eastAsia="楷体" w:cs="楷体"/>
          <w:b w:val="0"/>
          <w:bCs/>
          <w:snapToGrid w:val="0"/>
          <w:spacing w:val="-6"/>
          <w:kern w:val="0"/>
          <w:sz w:val="32"/>
        </w:rPr>
        <w:t>（一）政府债务规模情况</w:t>
      </w:r>
    </w:p>
    <w:p w14:paraId="786B1992">
      <w:pPr>
        <w:spacing w:line="600" w:lineRule="exact"/>
        <w:ind w:firstLine="640" w:firstLineChars="200"/>
        <w:textAlignment w:val="center"/>
        <w:rPr>
          <w:rFonts w:ascii="仿宋" w:hAnsi="仿宋" w:eastAsia="仿宋" w:cs="仿宋"/>
          <w:color w:val="000000"/>
          <w:sz w:val="32"/>
          <w:szCs w:val="32"/>
        </w:rPr>
      </w:pPr>
      <w:r>
        <w:rPr>
          <w:rFonts w:hint="eastAsia" w:ascii="仿宋" w:hAnsi="仿宋" w:eastAsia="仿宋" w:cs="仿宋"/>
          <w:color w:val="000000"/>
          <w:sz w:val="32"/>
          <w:szCs w:val="32"/>
        </w:rPr>
        <w:t>2024年，省财政核定我县政府债务限额83.06亿元，其中，一般债务28.59亿元，专项债务54.47亿元。截至2024年末，全县政府债务余额79.97亿元，其中：一般债务26.55亿元、专项债务53.42亿元，严格控制在核定的限额之内。</w:t>
      </w:r>
    </w:p>
    <w:p w14:paraId="1A0558D5">
      <w:pPr>
        <w:pStyle w:val="2"/>
        <w:spacing w:line="600" w:lineRule="exact"/>
        <w:ind w:firstLine="616"/>
        <w:rPr>
          <w:rFonts w:ascii="楷体" w:hAnsi="楷体" w:eastAsia="楷体" w:cs="楷体"/>
          <w:b w:val="0"/>
          <w:bCs/>
          <w:snapToGrid w:val="0"/>
          <w:spacing w:val="-6"/>
          <w:kern w:val="0"/>
          <w:sz w:val="32"/>
        </w:rPr>
      </w:pPr>
      <w:r>
        <w:rPr>
          <w:rFonts w:hint="eastAsia" w:ascii="楷体" w:hAnsi="楷体" w:eastAsia="楷体" w:cs="楷体"/>
          <w:b w:val="0"/>
          <w:bCs/>
          <w:snapToGrid w:val="0"/>
          <w:spacing w:val="-6"/>
          <w:kern w:val="0"/>
          <w:sz w:val="32"/>
        </w:rPr>
        <w:t>（二）政府债务期限结构情况</w:t>
      </w:r>
    </w:p>
    <w:p w14:paraId="716991D6">
      <w:pPr>
        <w:spacing w:line="600" w:lineRule="exact"/>
        <w:ind w:firstLine="640" w:firstLineChars="200"/>
        <w:textAlignment w:val="center"/>
        <w:rPr>
          <w:rFonts w:ascii="仿宋" w:hAnsi="仿宋" w:eastAsia="仿宋" w:cs="仿宋"/>
          <w:color w:val="000000"/>
          <w:sz w:val="32"/>
          <w:szCs w:val="32"/>
        </w:rPr>
      </w:pPr>
      <w:r>
        <w:rPr>
          <w:rFonts w:hint="eastAsia" w:ascii="仿宋" w:hAnsi="仿宋" w:eastAsia="仿宋" w:cs="仿宋"/>
          <w:color w:val="000000"/>
          <w:sz w:val="32"/>
          <w:szCs w:val="32"/>
        </w:rPr>
        <w:t>全县2024年末政府债务余额中，2025年到期4.94亿元，占6.18%；2026年到期4.72亿元，占5.9%；2027年到期2.72亿元，占3.4%；2028年到期3.76亿元，占4.7%；2029年及以后年度到期63.83亿元，占79.82%。</w:t>
      </w:r>
    </w:p>
    <w:p w14:paraId="7FEBD392">
      <w:pPr>
        <w:pStyle w:val="2"/>
        <w:spacing w:line="600" w:lineRule="exact"/>
        <w:ind w:firstLine="616"/>
        <w:rPr>
          <w:rFonts w:ascii="楷体" w:hAnsi="楷体" w:eastAsia="楷体" w:cs="楷体"/>
          <w:b w:val="0"/>
          <w:bCs/>
          <w:snapToGrid w:val="0"/>
          <w:spacing w:val="-6"/>
          <w:kern w:val="0"/>
          <w:sz w:val="32"/>
        </w:rPr>
      </w:pPr>
      <w:r>
        <w:rPr>
          <w:rFonts w:hint="eastAsia" w:ascii="楷体" w:hAnsi="楷体" w:eastAsia="楷体" w:cs="楷体"/>
          <w:b w:val="0"/>
          <w:bCs/>
          <w:snapToGrid w:val="0"/>
          <w:spacing w:val="-6"/>
          <w:kern w:val="0"/>
          <w:sz w:val="32"/>
        </w:rPr>
        <w:t>（三）政府债券发行使用情况</w:t>
      </w:r>
    </w:p>
    <w:p w14:paraId="59385E73">
      <w:pPr>
        <w:pStyle w:val="2"/>
        <w:spacing w:line="600" w:lineRule="exact"/>
        <w:rPr>
          <w:rFonts w:eastAsia="仿宋"/>
          <w:b w:val="0"/>
          <w:color w:val="000000"/>
          <w:sz w:val="32"/>
        </w:rPr>
      </w:pPr>
      <w:r>
        <w:rPr>
          <w:rFonts w:hint="eastAsia" w:eastAsia="仿宋"/>
          <w:b w:val="0"/>
          <w:color w:val="000000"/>
          <w:sz w:val="32"/>
        </w:rPr>
        <w:t>2024年，全县由省级代为发行地方政府债券17.53亿元。其中：新增政府债券12亿元，用于第三实验小学（二期）教学楼C栋、学生宿舍建设项目，尤溪县全民健康管理中心建设项目，尤溪县中医医院康复病房扩建项目，尤溪县农村生活污水处理建设项目，福建省广播电视传输发射中心七O三台迁建工程项目，三奎康泰路延伸线、边竹路延伸线、闽中大道延伸线等三期项目，前厝洋安置区基础设施工程项目，福建省尤溪县人民武装部公寓楼危房改造、尤溪县第四期老旧小区改造配套基础设施建设项目，尤溪县第五期老旧小区改造配套基础设施建设项目，尤溪县第六期老旧小区改造配套基础设施建设项目，尤溪县竹木加工集中区基础设施建设项目，尤溪县生活垃圾焚烧发电项目，尤溪经济开发区城西园配套工程建设项目，尤溪城南工业集中区基础设施建设项目（三期），尤溪县城南经编、化纤、棉纺等项目基础设施建设及城南工业集中区污水处理提升改造工程，尤溪县国家农村产业融合发展示范园（洋中片区）基础设施建设项目，尤溪县洋中镇双创基地基础设施建设项目，尤溪县洋中镇农贸市场，尤溪县域乡村综合物流基础设施建设项目，管前精细化工工业集中区基础设施建设项目，尤溪县总医院分院医疗服务能力提升项目，尤溪公交综合场站及汽车东站，尤溪县乡镇生活污水处理建设项目，尤溪西城安置房建设项目，尤溪县燃气老旧管网更新改造项目，城南工业集中区标准厂房建设项目，西城新区潘山E16-02（地块二）安置房建设项目，中医院及县医院建设项目，水东片区便民服务中心建设，尤溪县城南工业集中区污水处理厂建设项目，尤溪县城南工业集中区基础设施建设（一期）工程项目等；再融资债券5.53亿元，其中2</w:t>
      </w:r>
      <w:r>
        <w:rPr>
          <w:rFonts w:eastAsia="仿宋"/>
          <w:b w:val="0"/>
          <w:color w:val="000000"/>
          <w:sz w:val="32"/>
        </w:rPr>
        <w:t>.</w:t>
      </w:r>
      <w:r>
        <w:rPr>
          <w:rFonts w:hint="eastAsia" w:eastAsia="仿宋"/>
          <w:b w:val="0"/>
          <w:color w:val="000000"/>
          <w:sz w:val="32"/>
        </w:rPr>
        <w:t>83亿元用于偿还到期地方政府债券本金。</w:t>
      </w:r>
    </w:p>
    <w:p w14:paraId="1061C16D">
      <w:pPr>
        <w:pStyle w:val="2"/>
        <w:spacing w:line="600" w:lineRule="exact"/>
        <w:ind w:firstLine="616"/>
        <w:rPr>
          <w:rFonts w:ascii="楷体" w:hAnsi="楷体" w:eastAsia="楷体" w:cs="楷体"/>
          <w:b w:val="0"/>
          <w:bCs/>
          <w:snapToGrid w:val="0"/>
          <w:spacing w:val="-6"/>
          <w:kern w:val="0"/>
          <w:sz w:val="32"/>
        </w:rPr>
      </w:pPr>
      <w:r>
        <w:rPr>
          <w:rFonts w:hint="eastAsia" w:ascii="楷体" w:hAnsi="楷体" w:eastAsia="楷体" w:cs="楷体"/>
          <w:b w:val="0"/>
          <w:bCs/>
          <w:snapToGrid w:val="0"/>
          <w:spacing w:val="-6"/>
          <w:kern w:val="0"/>
          <w:sz w:val="32"/>
        </w:rPr>
        <w:t>（四）政府债务还本付息情况</w:t>
      </w:r>
    </w:p>
    <w:p w14:paraId="783F60F9">
      <w:pPr>
        <w:spacing w:line="600" w:lineRule="exact"/>
        <w:ind w:firstLine="640" w:firstLineChars="200"/>
        <w:textAlignment w:val="center"/>
        <w:rPr>
          <w:rFonts w:ascii="仿宋" w:hAnsi="仿宋" w:eastAsia="仿宋" w:cs="仿宋"/>
          <w:color w:val="000000"/>
          <w:sz w:val="32"/>
          <w:szCs w:val="32"/>
        </w:rPr>
      </w:pPr>
      <w:r>
        <w:rPr>
          <w:rFonts w:hint="eastAsia" w:ascii="仿宋" w:hAnsi="仿宋" w:eastAsia="仿宋" w:cs="仿宋"/>
          <w:color w:val="000000"/>
          <w:sz w:val="32"/>
          <w:szCs w:val="32"/>
        </w:rPr>
        <w:t>2024年，全县偿还政府债券本息5.34亿元，其中：本金3.14亿元、利息2.2亿元。</w:t>
      </w:r>
    </w:p>
    <w:p w14:paraId="2BA495B4">
      <w:pPr>
        <w:spacing w:line="600" w:lineRule="exact"/>
        <w:ind w:firstLine="640" w:firstLineChars="200"/>
        <w:rPr>
          <w:rFonts w:ascii="黑体" w:hAnsi="黑体" w:eastAsia="黑体"/>
          <w:sz w:val="32"/>
          <w:szCs w:val="32"/>
        </w:rPr>
      </w:pPr>
      <w:r>
        <w:rPr>
          <w:rFonts w:hint="eastAsia" w:ascii="黑体" w:hAnsi="黑体" w:eastAsia="黑体"/>
          <w:sz w:val="32"/>
          <w:szCs w:val="32"/>
        </w:rPr>
        <w:t>四、预算绩效开展情况</w:t>
      </w:r>
    </w:p>
    <w:p w14:paraId="1B53E6B2">
      <w:pPr>
        <w:spacing w:line="600" w:lineRule="exact"/>
        <w:ind w:firstLine="640" w:firstLineChars="200"/>
        <w:rPr>
          <w:rFonts w:ascii="黑体" w:hAnsi="黑体" w:eastAsia="黑体"/>
          <w:sz w:val="32"/>
          <w:szCs w:val="32"/>
        </w:rPr>
      </w:pPr>
      <w:r>
        <w:rPr>
          <w:rFonts w:hint="eastAsia" w:ascii="仿宋" w:hAnsi="仿宋" w:eastAsia="仿宋"/>
          <w:kern w:val="0"/>
          <w:sz w:val="32"/>
          <w:szCs w:val="32"/>
        </w:rPr>
        <w:t>2024年度尤溪县严格贯彻落实《中共福建省委 福建省人民政府印发&lt;关于全面实施预算绩效管理的实施意见&gt;的通知》，做好全过程预算绩效管理工作。一是加强事前绩效审查，组织15个项目开展事前绩效评估；15个项目按规定设置绩效目标，并随同部门预算同步批复。二是组织130个项目开展事中绩效监控。三是组织49个部门开展绩效自评；县财政部门对5个重点支出项目进行了财政重点评价，涉及财政资金2927.56万元，经评价，等级“优”的有3项，“良”的有2项；《财政评价报告》详见附件5。</w:t>
      </w:r>
    </w:p>
    <w:sectPr>
      <w:footerReference r:id="rId3" w:type="default"/>
      <w:footerReference r:id="rId4" w:type="even"/>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方正小标宋简体">
    <w:altName w:val="Arial Unicode MS"/>
    <w:panose1 w:val="00000000000000000000"/>
    <w:charset w:val="86"/>
    <w:family w:val="auto"/>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 w:name="Arial">
    <w:panose1 w:val="020B0604020202020204"/>
    <w:charset w:val="00"/>
    <w:family w:val="swiss"/>
    <w:pitch w:val="default"/>
    <w:sig w:usb0="E0002AFF" w:usb1="C0007843" w:usb2="00000009" w:usb3="00000000" w:csb0="400001FF" w:csb1="FFFF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007038956"/>
      <w:docPartObj>
        <w:docPartGallery w:val="AutoText"/>
      </w:docPartObj>
    </w:sdtPr>
    <w:sdtEndPr>
      <w:rPr>
        <w:rFonts w:ascii="宋体" w:hAnsi="宋体" w:eastAsia="宋体"/>
        <w:sz w:val="28"/>
        <w:szCs w:val="28"/>
      </w:rPr>
    </w:sdtEndPr>
    <w:sdtContent>
      <w:p w14:paraId="7ACD29CB">
        <w:pPr>
          <w:pStyle w:val="4"/>
          <w:wordWrap w:val="0"/>
          <w:jc w:val="right"/>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21 -</w:t>
        </w:r>
        <w:r>
          <w:rPr>
            <w:rFonts w:ascii="宋体" w:hAnsi="宋体" w:eastAsia="宋体"/>
            <w:sz w:val="28"/>
            <w:szCs w:val="28"/>
          </w:rPr>
          <w:fldChar w:fldCharType="end"/>
        </w:r>
        <w:r>
          <w:rPr>
            <w:rFonts w:hint="eastAsia" w:ascii="宋体" w:hAnsi="宋体" w:eastAsia="宋体"/>
            <w:sz w:val="28"/>
            <w:szCs w:val="28"/>
          </w:rPr>
          <w:t xml:space="preserve">  </w:t>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849288864"/>
      <w:docPartObj>
        <w:docPartGallery w:val="AutoText"/>
      </w:docPartObj>
    </w:sdtPr>
    <w:sdtEndPr>
      <w:rPr>
        <w:rFonts w:ascii="宋体" w:hAnsi="宋体" w:eastAsia="宋体"/>
        <w:sz w:val="28"/>
        <w:szCs w:val="28"/>
      </w:rPr>
    </w:sdtEndPr>
    <w:sdtContent>
      <w:p w14:paraId="24E48148">
        <w:pPr>
          <w:pStyle w:val="4"/>
          <w:ind w:firstLine="360" w:firstLineChars="200"/>
          <w:rPr>
            <w:rFonts w:ascii="宋体" w:hAnsi="宋体" w:eastAsia="宋体"/>
            <w:sz w:val="28"/>
            <w:szCs w:val="28"/>
          </w:rPr>
        </w:pPr>
        <w:r>
          <w:rPr>
            <w:rFonts w:ascii="宋体" w:hAnsi="宋体" w:eastAsia="宋体"/>
            <w:sz w:val="28"/>
            <w:szCs w:val="28"/>
          </w:rPr>
          <w:fldChar w:fldCharType="begin"/>
        </w:r>
        <w:r>
          <w:rPr>
            <w:rFonts w:ascii="宋体" w:hAnsi="宋体" w:eastAsia="宋体"/>
            <w:sz w:val="28"/>
            <w:szCs w:val="28"/>
          </w:rPr>
          <w:instrText xml:space="preserve">PAGE   \* MERGEFORMAT</w:instrText>
        </w:r>
        <w:r>
          <w:rPr>
            <w:rFonts w:ascii="宋体" w:hAnsi="宋体" w:eastAsia="宋体"/>
            <w:sz w:val="28"/>
            <w:szCs w:val="28"/>
          </w:rPr>
          <w:fldChar w:fldCharType="separate"/>
        </w:r>
        <w:r>
          <w:rPr>
            <w:rFonts w:ascii="宋体" w:hAnsi="宋体" w:eastAsia="宋体"/>
            <w:sz w:val="28"/>
            <w:szCs w:val="28"/>
            <w:lang w:val="zh-CN"/>
          </w:rPr>
          <w:t>-</w:t>
        </w:r>
        <w:r>
          <w:rPr>
            <w:rFonts w:ascii="宋体" w:hAnsi="宋体" w:eastAsia="宋体"/>
            <w:sz w:val="28"/>
            <w:szCs w:val="28"/>
          </w:rPr>
          <w:t xml:space="preserve"> 20 -</w:t>
        </w:r>
        <w:r>
          <w:rPr>
            <w:rFonts w:ascii="宋体" w:hAnsi="宋体" w:eastAsia="宋体"/>
            <w:sz w:val="28"/>
            <w:szCs w:val="28"/>
          </w:rPr>
          <w:fldChar w:fldCharType="end"/>
        </w:r>
      </w:p>
    </w:sdtContent>
  </w:sdt>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documentProtection w:enforcement="0"/>
  <w:defaultTabStop w:val="420"/>
  <w:evenAndOddHeaders w:val="1"/>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4A6"/>
    <w:rsid w:val="00004B33"/>
    <w:rsid w:val="00010C1E"/>
    <w:rsid w:val="000204A3"/>
    <w:rsid w:val="00056889"/>
    <w:rsid w:val="00057A3C"/>
    <w:rsid w:val="000A17F6"/>
    <w:rsid w:val="000A48BD"/>
    <w:rsid w:val="000C156A"/>
    <w:rsid w:val="000E45B2"/>
    <w:rsid w:val="000F1607"/>
    <w:rsid w:val="00102DF0"/>
    <w:rsid w:val="00141123"/>
    <w:rsid w:val="0015002E"/>
    <w:rsid w:val="00155DC0"/>
    <w:rsid w:val="001611A7"/>
    <w:rsid w:val="00185AE5"/>
    <w:rsid w:val="00192750"/>
    <w:rsid w:val="001B61B8"/>
    <w:rsid w:val="00221D21"/>
    <w:rsid w:val="00270D55"/>
    <w:rsid w:val="00313891"/>
    <w:rsid w:val="00332603"/>
    <w:rsid w:val="003443E1"/>
    <w:rsid w:val="004050F4"/>
    <w:rsid w:val="00413A17"/>
    <w:rsid w:val="00422BD2"/>
    <w:rsid w:val="00432769"/>
    <w:rsid w:val="00472692"/>
    <w:rsid w:val="00481748"/>
    <w:rsid w:val="004A6E44"/>
    <w:rsid w:val="004C445E"/>
    <w:rsid w:val="004D40CE"/>
    <w:rsid w:val="004E156A"/>
    <w:rsid w:val="00523C23"/>
    <w:rsid w:val="0052441D"/>
    <w:rsid w:val="005775D9"/>
    <w:rsid w:val="005778A8"/>
    <w:rsid w:val="00580AD9"/>
    <w:rsid w:val="005941C3"/>
    <w:rsid w:val="00596BC3"/>
    <w:rsid w:val="005A40F9"/>
    <w:rsid w:val="005B797D"/>
    <w:rsid w:val="005C027A"/>
    <w:rsid w:val="005D12B2"/>
    <w:rsid w:val="005E532E"/>
    <w:rsid w:val="005F1463"/>
    <w:rsid w:val="005F407E"/>
    <w:rsid w:val="006176FB"/>
    <w:rsid w:val="00636612"/>
    <w:rsid w:val="00651375"/>
    <w:rsid w:val="00687CA6"/>
    <w:rsid w:val="006C1492"/>
    <w:rsid w:val="006E2AB9"/>
    <w:rsid w:val="007530E1"/>
    <w:rsid w:val="00760577"/>
    <w:rsid w:val="00766D49"/>
    <w:rsid w:val="00772083"/>
    <w:rsid w:val="007A0B3E"/>
    <w:rsid w:val="007A53DA"/>
    <w:rsid w:val="007C03D4"/>
    <w:rsid w:val="00816DD2"/>
    <w:rsid w:val="00834F54"/>
    <w:rsid w:val="00845B39"/>
    <w:rsid w:val="0084734B"/>
    <w:rsid w:val="00851556"/>
    <w:rsid w:val="0085480A"/>
    <w:rsid w:val="00881AF7"/>
    <w:rsid w:val="008F7D2C"/>
    <w:rsid w:val="0090332C"/>
    <w:rsid w:val="00963347"/>
    <w:rsid w:val="00997C29"/>
    <w:rsid w:val="009A382C"/>
    <w:rsid w:val="009A4063"/>
    <w:rsid w:val="009D34A6"/>
    <w:rsid w:val="009E6A3F"/>
    <w:rsid w:val="009F6431"/>
    <w:rsid w:val="00A0208F"/>
    <w:rsid w:val="00A11DEF"/>
    <w:rsid w:val="00AB36C7"/>
    <w:rsid w:val="00AB7ADE"/>
    <w:rsid w:val="00AE36BC"/>
    <w:rsid w:val="00B03E7C"/>
    <w:rsid w:val="00B50B29"/>
    <w:rsid w:val="00B90B03"/>
    <w:rsid w:val="00BA3AB1"/>
    <w:rsid w:val="00BB6E1C"/>
    <w:rsid w:val="00BF4B5C"/>
    <w:rsid w:val="00C72444"/>
    <w:rsid w:val="00D36D1D"/>
    <w:rsid w:val="00D54B7C"/>
    <w:rsid w:val="00D561A1"/>
    <w:rsid w:val="00D75D2D"/>
    <w:rsid w:val="00D905AB"/>
    <w:rsid w:val="00E40C01"/>
    <w:rsid w:val="00E469B6"/>
    <w:rsid w:val="00E72797"/>
    <w:rsid w:val="00EA2BFF"/>
    <w:rsid w:val="00EE0047"/>
    <w:rsid w:val="00EE575F"/>
    <w:rsid w:val="00F03462"/>
    <w:rsid w:val="00F27F51"/>
    <w:rsid w:val="00F46868"/>
    <w:rsid w:val="00F72BD9"/>
    <w:rsid w:val="00F74F06"/>
    <w:rsid w:val="00F90D0E"/>
    <w:rsid w:val="00FC479D"/>
    <w:rsid w:val="00FC6FDA"/>
    <w:rsid w:val="00FD50F7"/>
    <w:rsid w:val="00FF17A4"/>
    <w:rsid w:val="3A574E86"/>
    <w:rsid w:val="7AF310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3"/>
    <w:basedOn w:val="1"/>
    <w:next w:val="1"/>
    <w:link w:val="12"/>
    <w:qFormat/>
    <w:uiPriority w:val="0"/>
    <w:pPr>
      <w:spacing w:line="580" w:lineRule="exact"/>
      <w:ind w:firstLine="640" w:firstLineChars="200"/>
      <w:textAlignment w:val="center"/>
      <w:outlineLvl w:val="2"/>
    </w:pPr>
    <w:rPr>
      <w:rFonts w:ascii="仿宋" w:hAnsi="仿宋" w:eastAsia="宋体" w:cs="仿宋"/>
      <w:b/>
      <w:szCs w:val="32"/>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Balloon Text"/>
    <w:basedOn w:val="1"/>
    <w:link w:val="13"/>
    <w:semiHidden/>
    <w:unhideWhenUsed/>
    <w:qFormat/>
    <w:uiPriority w:val="99"/>
    <w:rPr>
      <w:sz w:val="18"/>
      <w:szCs w:val="18"/>
    </w:rPr>
  </w:style>
  <w:style w:type="paragraph" w:styleId="4">
    <w:name w:val="footer"/>
    <w:basedOn w:val="1"/>
    <w:link w:val="10"/>
    <w:unhideWhenUsed/>
    <w:qFormat/>
    <w:uiPriority w:val="99"/>
    <w:pPr>
      <w:tabs>
        <w:tab w:val="center" w:pos="4153"/>
        <w:tab w:val="right" w:pos="8306"/>
      </w:tabs>
      <w:snapToGrid w:val="0"/>
      <w:jc w:val="left"/>
    </w:pPr>
    <w:rPr>
      <w:sz w:val="18"/>
      <w:szCs w:val="18"/>
    </w:rPr>
  </w:style>
  <w:style w:type="paragraph" w:styleId="5">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character" w:styleId="8">
    <w:name w:val="Strong"/>
    <w:basedOn w:val="7"/>
    <w:qFormat/>
    <w:uiPriority w:val="22"/>
    <w:rPr>
      <w:b/>
      <w:bCs/>
    </w:rPr>
  </w:style>
  <w:style w:type="character" w:customStyle="1" w:styleId="9">
    <w:name w:val="页眉 Char"/>
    <w:basedOn w:val="7"/>
    <w:link w:val="5"/>
    <w:qFormat/>
    <w:uiPriority w:val="99"/>
    <w:rPr>
      <w:sz w:val="18"/>
      <w:szCs w:val="18"/>
    </w:rPr>
  </w:style>
  <w:style w:type="character" w:customStyle="1" w:styleId="10">
    <w:name w:val="页脚 Char"/>
    <w:basedOn w:val="7"/>
    <w:link w:val="4"/>
    <w:qFormat/>
    <w:uiPriority w:val="99"/>
    <w:rPr>
      <w:sz w:val="18"/>
      <w:szCs w:val="18"/>
    </w:rPr>
  </w:style>
  <w:style w:type="paragraph" w:customStyle="1" w:styleId="11">
    <w:name w:val="内容"/>
    <w:basedOn w:val="1"/>
    <w:qFormat/>
    <w:uiPriority w:val="0"/>
    <w:pPr>
      <w:snapToGrid w:val="0"/>
      <w:spacing w:line="640" w:lineRule="exact"/>
      <w:ind w:firstLine="640"/>
    </w:pPr>
    <w:rPr>
      <w:rFonts w:ascii="Calibri" w:hAnsi="楷体" w:eastAsia="宋体" w:cs="Times New Roman"/>
      <w:snapToGrid w:val="0"/>
      <w:kern w:val="0"/>
      <w:sz w:val="32"/>
      <w:szCs w:val="24"/>
    </w:rPr>
  </w:style>
  <w:style w:type="character" w:customStyle="1" w:styleId="12">
    <w:name w:val="标题 3 Char"/>
    <w:basedOn w:val="7"/>
    <w:link w:val="2"/>
    <w:qFormat/>
    <w:uiPriority w:val="0"/>
    <w:rPr>
      <w:rFonts w:ascii="仿宋" w:hAnsi="仿宋" w:eastAsia="宋体" w:cs="仿宋"/>
      <w:b/>
      <w:szCs w:val="32"/>
    </w:rPr>
  </w:style>
  <w:style w:type="character" w:customStyle="1" w:styleId="13">
    <w:name w:val="批注框文本 Char"/>
    <w:basedOn w:val="7"/>
    <w:link w:val="3"/>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22</Pages>
  <Words>8763</Words>
  <Characters>11597</Characters>
  <Lines>83</Lines>
  <Paragraphs>23</Paragraphs>
  <TotalTime>1899</TotalTime>
  <ScaleCrop>false</ScaleCrop>
  <LinksUpToDate>false</LinksUpToDate>
  <CharactersWithSpaces>11598</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2018-01-02T08:12:00Z</dcterms:created>
  <dc:creator>何吾志</dc:creator>
  <cp:lastModifiedBy>Administrator</cp:lastModifiedBy>
  <cp:lastPrinted>2025-06-10T09:27:00Z</cp:lastPrinted>
  <dcterms:modified xsi:type="dcterms:W3CDTF">2025-06-19T02:44:54Z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eyJoZGlkIjoiMjhlMjM5MDk2NGFkY2I3YTFjN2E2ZGZkMGVmMjc3ZDEifQ==</vt:lpwstr>
  </property>
  <property fmtid="{D5CDD505-2E9C-101B-9397-08002B2CF9AE}" pid="3" name="KSOProductBuildVer">
    <vt:lpwstr>2052-12.1.0.21541</vt:lpwstr>
  </property>
  <property fmtid="{D5CDD505-2E9C-101B-9397-08002B2CF9AE}" pid="4" name="ICV">
    <vt:lpwstr>42A4070B0274403DBB1E019755F51931_12</vt:lpwstr>
  </property>
</Properties>
</file>