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ascii="微软雅黑" w:hAnsi="微软雅黑" w:eastAsia="微软雅黑" w:cs="微软雅黑"/>
          <w:b/>
          <w:i w:val="0"/>
          <w:caps w:val="0"/>
          <w:color w:val="333333"/>
          <w:spacing w:val="0"/>
          <w:sz w:val="32"/>
          <w:szCs w:val="32"/>
        </w:rPr>
      </w:pPr>
      <w:r>
        <w:rPr>
          <w:rFonts w:hint="eastAsia" w:ascii="微软雅黑" w:hAnsi="微软雅黑" w:eastAsia="微软雅黑" w:cs="微软雅黑"/>
          <w:b/>
          <w:i w:val="0"/>
          <w:caps w:val="0"/>
          <w:color w:val="333333"/>
          <w:spacing w:val="0"/>
          <w:sz w:val="32"/>
          <w:szCs w:val="32"/>
          <w:shd w:val="clear" w:fill="FFFFFF"/>
          <w:lang w:val="en-US" w:eastAsia="zh-CN"/>
        </w:rPr>
        <w:t> </w:t>
      </w:r>
      <w:bookmarkStart w:id="0" w:name="_GoBack"/>
      <w:r>
        <w:rPr>
          <w:rFonts w:hint="eastAsia" w:ascii="微软雅黑" w:hAnsi="微软雅黑" w:eastAsia="微软雅黑" w:cs="微软雅黑"/>
          <w:b/>
          <w:i w:val="0"/>
          <w:caps w:val="0"/>
          <w:color w:val="333333"/>
          <w:spacing w:val="0"/>
          <w:sz w:val="32"/>
          <w:szCs w:val="32"/>
          <w:shd w:val="clear" w:fill="FFFFFF"/>
          <w:lang w:val="en-US" w:eastAsia="zh-CN"/>
        </w:rPr>
        <w:t>尤溪县公共文化服务</w:t>
      </w:r>
      <w:r>
        <w:rPr>
          <w:rFonts w:hint="eastAsia" w:ascii="微软雅黑" w:hAnsi="微软雅黑" w:eastAsia="微软雅黑" w:cs="微软雅黑"/>
          <w:b/>
          <w:i w:val="0"/>
          <w:caps w:val="0"/>
          <w:color w:val="333333"/>
          <w:spacing w:val="0"/>
          <w:sz w:val="32"/>
          <w:szCs w:val="32"/>
          <w:shd w:val="clear" w:fill="FFFFFF"/>
        </w:rPr>
        <w:t>领域基</w:t>
      </w:r>
      <w:r>
        <w:rPr>
          <w:rFonts w:hint="eastAsia" w:ascii="微软雅黑" w:hAnsi="微软雅黑" w:eastAsia="微软雅黑" w:cs="微软雅黑"/>
          <w:b/>
          <w:i w:val="0"/>
          <w:caps w:val="0"/>
          <w:color w:val="333333"/>
          <w:spacing w:val="0"/>
          <w:sz w:val="32"/>
          <w:szCs w:val="32"/>
          <w:bdr w:val="none" w:color="auto" w:sz="0" w:space="0"/>
          <w:shd w:val="clear" w:fill="FFFFFF"/>
        </w:rPr>
        <w:t>层政务公开标准目录</w:t>
      </w:r>
    </w:p>
    <w:bookmarkEnd w:id="0"/>
    <w:p>
      <w:pPr>
        <w:keepNext w:val="0"/>
        <w:keepLines w:val="0"/>
        <w:widowControl/>
        <w:suppressLineNumbers w:val="0"/>
        <w:jc w:val="left"/>
        <w:rPr>
          <w:rFonts w:ascii="none" w:hAnsi="none" w:eastAsia="none" w:cs="none"/>
          <w:i w:val="0"/>
          <w:caps w:val="0"/>
          <w:color w:val="333333"/>
          <w:spacing w:val="0"/>
          <w:kern w:val="0"/>
          <w:sz w:val="16"/>
          <w:szCs w:val="16"/>
          <w:shd w:val="clear" w:fill="FFFFFF"/>
          <w:lang w:val="en-US" w:eastAsia="zh-CN" w:bidi="ar"/>
        </w:rPr>
      </w:pPr>
    </w:p>
    <w:tbl>
      <w:tblPr>
        <w:tblW w:w="11841" w:type="dxa"/>
        <w:jc w:val="center"/>
        <w:tblInd w:w="116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75"/>
        <w:gridCol w:w="580"/>
        <w:gridCol w:w="1145"/>
        <w:gridCol w:w="1235"/>
        <w:gridCol w:w="1423"/>
        <w:gridCol w:w="1250"/>
        <w:gridCol w:w="1039"/>
        <w:gridCol w:w="1338"/>
        <w:gridCol w:w="573"/>
        <w:gridCol w:w="567"/>
        <w:gridCol w:w="481"/>
        <w:gridCol w:w="573"/>
        <w:gridCol w:w="573"/>
        <w:gridCol w:w="5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7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序号</w:t>
            </w:r>
          </w:p>
        </w:tc>
        <w:tc>
          <w:tcPr>
            <w:tcW w:w="172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公开事项</w:t>
            </w:r>
          </w:p>
        </w:tc>
        <w:tc>
          <w:tcPr>
            <w:tcW w:w="123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公开内容（要素）</w:t>
            </w:r>
          </w:p>
        </w:tc>
        <w:tc>
          <w:tcPr>
            <w:tcW w:w="142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公开依据</w:t>
            </w:r>
          </w:p>
        </w:tc>
        <w:tc>
          <w:tcPr>
            <w:tcW w:w="125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公开时限</w:t>
            </w:r>
          </w:p>
        </w:tc>
        <w:tc>
          <w:tcPr>
            <w:tcW w:w="103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公开主体</w:t>
            </w:r>
          </w:p>
        </w:tc>
        <w:tc>
          <w:tcPr>
            <w:tcW w:w="133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公开渠道和载体</w:t>
            </w:r>
          </w:p>
        </w:tc>
        <w:tc>
          <w:tcPr>
            <w:tcW w:w="1140" w:type="dxa"/>
            <w:gridSpan w:val="2"/>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公开对象</w:t>
            </w:r>
          </w:p>
        </w:tc>
        <w:tc>
          <w:tcPr>
            <w:tcW w:w="1054"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公开方式</w:t>
            </w:r>
          </w:p>
        </w:tc>
        <w:tc>
          <w:tcPr>
            <w:tcW w:w="116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公开层级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5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一级事项</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二级事项</w:t>
            </w:r>
          </w:p>
        </w:tc>
        <w:tc>
          <w:tcPr>
            <w:tcW w:w="123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42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25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03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33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全社会</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特定群众</w:t>
            </w:r>
          </w:p>
        </w:tc>
        <w:tc>
          <w:tcPr>
            <w:tcW w:w="48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主动</w:t>
            </w:r>
          </w:p>
        </w:tc>
        <w:tc>
          <w:tcPr>
            <w:tcW w:w="5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依申请公开</w:t>
            </w:r>
          </w:p>
        </w:tc>
        <w:tc>
          <w:tcPr>
            <w:tcW w:w="5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县级</w:t>
            </w:r>
          </w:p>
        </w:tc>
        <w:tc>
          <w:tcPr>
            <w:tcW w:w="58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乡、村级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许可</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互联网上网服务营业场所经营许可</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1.办事指南：主要包括事项名称、设定依据、申请条件、办理材料、办理地点、办理时间、联系电话、办理流程、办理期限、申请行政许可需要提交的全部材料目录及办理情况;</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《中华人民共和国行政许可法》、《中华人民共和国政府信息公开条例》、《互联网上网服务营业场所管理条例》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kern w:val="0"/>
                <w:sz w:val="18"/>
                <w:szCs w:val="18"/>
                <w:bdr w:val="none" w:color="auto" w:sz="0" w:space="0"/>
                <w:lang w:val="en-US" w:eastAsia="zh-CN" w:bidi="ar"/>
              </w:rPr>
            </w:pPr>
            <w:r>
              <w:rPr>
                <w:rFonts w:hint="eastAsia" w:ascii="仿宋_GB2312" w:hAnsi="仿宋_GB2312" w:eastAsia="仿宋_GB2312" w:cs="仿宋_GB2312"/>
                <w:kern w:val="0"/>
                <w:sz w:val="18"/>
                <w:szCs w:val="18"/>
                <w:bdr w:val="none" w:color="auto" w:sz="0" w:space="0"/>
                <w:lang w:val="en-US" w:eastAsia="zh-CN" w:bidi="ar"/>
              </w:rPr>
              <w:t>■政府网站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文艺表演团体设立审批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《中华人民共和国行政许可法》、《中华人民共和国政府信息公开条例》、《营业性演出管理条例》、《文化部关于落实“先照后证”改进文化市场行政审批工作的通知》</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w:t>
            </w:r>
          </w:p>
        </w:tc>
        <w:tc>
          <w:tcPr>
            <w:tcW w:w="5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许可</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营业性演出审批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同上</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许可</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娱乐场所经营许可</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5</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县级文物保护单位保护范围内其他建设工程或者爆破、钻探、挖掘等作业审批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6</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县级文物保护单位建设控制地带内建设工程设计方案审批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7</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县级文物保护单位实施原址保护措施审批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8</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许可</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县级文物保护单位和未核定为文物保护单位的不可移动文物修缮审批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9</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核定为县级文物保护单位的属于国家所有的纪念建筑物或者古建筑改变用途审批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10</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非国有文物收藏单位和其他单位举办展览需借用国有馆藏二级以下文物审批</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1.办事指南：内容同上;</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2.行政许可决定。</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《中华人民共和国行政许可法》、《中华人民共和国政府信息公开条例》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■政务服务中心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11</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对互联网上网服务营业场所违法行为的行政处罚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12</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对娱乐场所违法行为的行政处罚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13</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对营业性演出违法行为的行政处罚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14</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对艺术品经营违法行为的行政处罚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15</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对网络游戏运营单位违法行为的行政处罚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16</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对社会艺术水平考级活动违法行为的行政处罚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17</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对互联网文化单位违法行为的行政处罚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18</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对擅自在文物保护单位的保护范围内进行建设工程或者爆破、钻探、挖掘等作业的行为进行处罚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19</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对在文物保护单位的建设控制地带内进行建设工程，其工程设计方案未经文物行政部门同意、报城乡建设规划部门批准，对文物保护单位的历史风貌造成破坏的行为进行处罚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20</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对擅自迁移、拆除不可移动文物的行为进行处罚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21</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对擅自修缮不可移动文物，明显改变文物原状的行为进行处罚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22</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对擅自在原址重建已全部毁坏的不可移动文物，造成文物破坏的行为进行处罚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23</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对施工单位未取得文物保护工程资质证书，擅自从事文物修缮、迁移、重建的行为进行处罚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24</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对转让或者抵押国有不可移动文物的行为进行处罚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25</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对将国有不可移动文物作为企业资产经营的行为进行处罚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26</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对将非国有不可移动文物转让或者抵押给外国人的行为进行处罚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27</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对擅自改变国有文物保护单位用途的行为进行处罚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28</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对文物收藏单位未按照国家有关规定配备防火、防盗、防自然损坏的设施的行为进行处罚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29</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对国有文物收藏单位法定代表人离任时未按照馆藏文物档案移交馆藏文物，或者所移交的馆藏文物与馆藏文物档案不符的行为进行处罚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30</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对将国有馆藏文物赠与、出租或者出售给其他单位、个人的行为进行处罚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31</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对违法借用、交换、处置国有馆藏文物的行为进行处罚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32</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对违法挪用或者侵占依法调拨、交换、出借文物所得补偿费用的行为进行处罚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33</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对发现文物隐匿不报，或者拒不上交的行为进行处罚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34</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对未按照规定移交拣选文物的行为进行处罚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35</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对未取得相应等级的文物保护工程资质证书，擅自承担文物保护单位的修缮、迁移、重建工程逾期不改正，或者造成严重后果的行为进行处罚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36</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处罚</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对未取得资质证书，擅自从事馆藏文物的修复、复制、拓印活动的行为进行处罚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37</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对擅自修复、复制、拓印馆藏珍贵文物的行为进行处罚</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3.处罚依据；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4.处罚结果。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执法决定信息在决定作出之日起7个工作日内公开，其他相关信息形成或变更之日起20个工作日内公开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38</w:t>
            </w:r>
          </w:p>
        </w:tc>
        <w:tc>
          <w:tcPr>
            <w:tcW w:w="5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行政</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强制</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对擅自从事互联网上网服务经营活动场所的查封，专用工具、设备的扣押</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1.主体信息；</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2.案由；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3.处理依据；</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4.处理结果。</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39</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服务</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公共文化机构免费开放信息</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1.机构名称；</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2.开放时间；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3.机构地址；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5.临时停止开放信息。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《公共文化服务保障法》、《中华人民共和国政府信息公开条例》、《文化部 财政部关于推进全国美术馆、公共图书馆、文化馆（站）免费开放工作的意见》、《文化部 财政部关于做好城市社区(街道)文化中心免费开放工作的通知》</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40</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特殊群体公共文化服务信息</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1.机构名称；</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2.开放时间；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3.机构地址；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5.临时停止开放信息。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《残疾人保障法》、《中华人民共和国政府信息公开条例》、《中共中央办公厅 国务院办公厅印发关于加快构建现代公共文化服务体系的意见》</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41</w:t>
            </w:r>
          </w:p>
        </w:tc>
        <w:tc>
          <w:tcPr>
            <w:tcW w:w="5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服务</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组织开展群众文化活动</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1.机构名称；</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2.开放时间；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3.机构地址；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5.临时停止活动信息。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《中华人民共和国政府信息公开条例》、《文化馆服务标准》</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42</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下基层辅导、演出、展览和指导基层群众文化活动</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1.活动时间；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2.活动单位；</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3.活动地址；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5.临时停止活动信息。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《中华人民共和国政府信息公开条例》、《文化馆服务标准》</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43</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举办各类展览、讲座信息</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1.活动时间；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2.活动单位；</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3.活动地址；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5.临时停止活动信息。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《中华人民共和国政府信息公开条例》、《乡镇综合文化站管理办法》</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44</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辅导和培训基层文化骨干</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1.培训时间；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2.培训单位；</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3.培训地址；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5.临时停止活动信息。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《中华人民共和国政府信息公开条例》、《乡镇综合文化站管理办法》</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45</w:t>
            </w:r>
          </w:p>
        </w:tc>
        <w:tc>
          <w:tcPr>
            <w:tcW w:w="5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仿宋_GB2312" w:hAnsi="仿宋_GB2312" w:eastAsia="仿宋_GB2312" w:cs="仿宋_GB2312"/>
                <w:sz w:val="18"/>
                <w:szCs w:val="18"/>
              </w:rPr>
            </w:pP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非物质文化遗产展示传播活动</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1.活动时间；</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2.组织单位；</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3.活动地址；</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4.联系电话；</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5.临时停止活动信息。</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《非物质文化遗产法》、《中华人民共和国政府信息公开条例》  </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尤溪县文体和旅游局，相关公共文化服务机构</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46</w:t>
            </w:r>
          </w:p>
        </w:tc>
        <w:tc>
          <w:tcPr>
            <w:tcW w:w="5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公共</w:t>
            </w:r>
            <w:r>
              <w:rPr>
                <w:rFonts w:hint="eastAsia" w:ascii="仿宋_GB2312" w:hAnsi="仿宋_GB2312" w:eastAsia="仿宋_GB2312" w:cs="仿宋_GB2312"/>
                <w:kern w:val="0"/>
                <w:sz w:val="18"/>
                <w:szCs w:val="18"/>
                <w:bdr w:val="none" w:color="auto" w:sz="0" w:space="0"/>
                <w:lang w:val="en-US" w:eastAsia="zh-CN" w:bidi="ar"/>
              </w:rPr>
              <w:br w:type="textWrapping"/>
            </w:r>
            <w:r>
              <w:rPr>
                <w:rFonts w:hint="eastAsia" w:ascii="仿宋_GB2312" w:hAnsi="仿宋_GB2312" w:eastAsia="仿宋_GB2312" w:cs="仿宋_GB2312"/>
                <w:kern w:val="0"/>
                <w:sz w:val="18"/>
                <w:szCs w:val="18"/>
                <w:bdr w:val="none" w:color="auto" w:sz="0" w:space="0"/>
                <w:lang w:val="en-US" w:eastAsia="zh-CN" w:bidi="ar"/>
              </w:rPr>
              <w:t>服务</w:t>
            </w:r>
          </w:p>
        </w:tc>
        <w:tc>
          <w:tcPr>
            <w:tcW w:w="1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文博单位名录</w:t>
            </w:r>
          </w:p>
        </w:tc>
        <w:tc>
          <w:tcPr>
            <w:tcW w:w="12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文物保护管理机构和博物馆名录</w:t>
            </w:r>
          </w:p>
        </w:tc>
        <w:tc>
          <w:tcPr>
            <w:tcW w:w="14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《中华人民共和国政府信息公开条例》</w:t>
            </w:r>
          </w:p>
        </w:tc>
        <w:tc>
          <w:tcPr>
            <w:tcW w:w="1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信息形成或变更之日起20个工作日内公开</w:t>
            </w:r>
          </w:p>
        </w:tc>
        <w:tc>
          <w:tcPr>
            <w:tcW w:w="10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尤溪县文体和旅游局</w:t>
            </w:r>
          </w:p>
        </w:tc>
        <w:tc>
          <w:tcPr>
            <w:tcW w:w="13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■政府网站</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　</w:t>
            </w:r>
          </w:p>
        </w:tc>
        <w:tc>
          <w:tcPr>
            <w:tcW w:w="5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c>
          <w:tcPr>
            <w:tcW w:w="5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tLeast"/>
              <w:ind w:left="0" w:right="0"/>
              <w:jc w:val="lef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bdr w:val="none" w:color="auto" w:sz="0" w:space="0"/>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600E6"/>
    <w:rsid w:val="1126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2025-11-01T06:53:00Z</dcterms:created>
  <dc:creator>Administrator</dc:creator>
  <cp:lastModifiedBy>Administrator</cp:lastModifiedBy>
  <dcterms:modified xsi:type="dcterms:W3CDTF">2025-11-01T07:06:35Z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