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 w:hAnsi="仿宋" w:eastAsia="仿宋" w:cs="仿宋"/>
          <w:color w:val="000000"/>
          <w:kern w:val="0"/>
        </w:rPr>
      </w:pPr>
      <w:bookmarkStart w:id="1" w:name="_GoBack"/>
      <w:bookmarkEnd w:id="1"/>
      <w:r>
        <w:rPr>
          <w:rFonts w:hint="eastAsia" w:ascii="仿宋" w:hAnsi="仿宋" w:eastAsia="仿宋" w:cs="仿宋"/>
          <w:color w:val="000000"/>
          <w:kern w:val="0"/>
        </w:rPr>
        <w:t>附件3</w:t>
      </w:r>
    </w:p>
    <w:p>
      <w:pPr>
        <w:spacing w:line="540" w:lineRule="exact"/>
        <w:jc w:val="center"/>
        <w:rPr>
          <w:rFonts w:ascii="宋体" w:hAnsi="宋体" w:cs="宋体"/>
          <w:b/>
          <w:color w:val="000000"/>
          <w:kern w:val="0"/>
          <w:sz w:val="28"/>
          <w:szCs w:val="28"/>
        </w:rPr>
      </w:pPr>
      <w:r>
        <w:rPr>
          <w:rFonts w:hint="eastAsia" w:ascii="仿宋" w:hAnsi="仿宋" w:eastAsia="仿宋" w:cs="仿宋"/>
          <w:b/>
          <w:color w:val="000000"/>
          <w:kern w:val="0"/>
          <w:sz w:val="30"/>
          <w:szCs w:val="30"/>
        </w:rPr>
        <w:t>医疗器械使用质量监督检查要点</w:t>
      </w:r>
    </w:p>
    <w:tbl>
      <w:tblPr>
        <w:tblStyle w:val="7"/>
        <w:tblW w:w="8685" w:type="dxa"/>
        <w:jc w:val="center"/>
        <w:tblInd w:w="0" w:type="dxa"/>
        <w:tblLayout w:type="fixed"/>
        <w:tblCellMar>
          <w:top w:w="0" w:type="dxa"/>
          <w:left w:w="108" w:type="dxa"/>
          <w:bottom w:w="0" w:type="dxa"/>
          <w:right w:w="108" w:type="dxa"/>
        </w:tblCellMar>
      </w:tblPr>
      <w:tblGrid>
        <w:gridCol w:w="737"/>
        <w:gridCol w:w="7212"/>
        <w:gridCol w:w="736"/>
      </w:tblGrid>
      <w:tr>
        <w:tblPrEx>
          <w:tblLayout w:type="fixed"/>
          <w:tblCellMar>
            <w:top w:w="0" w:type="dxa"/>
            <w:left w:w="108" w:type="dxa"/>
            <w:bottom w:w="0" w:type="dxa"/>
            <w:right w:w="108" w:type="dxa"/>
          </w:tblCellMar>
        </w:tblPrEx>
        <w:trPr>
          <w:trHeight w:val="49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序号</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检查要点</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备注</w:t>
            </w:r>
          </w:p>
        </w:tc>
      </w:tr>
      <w:tr>
        <w:tblPrEx>
          <w:tblLayout w:type="fixed"/>
          <w:tblCellMar>
            <w:top w:w="0" w:type="dxa"/>
            <w:left w:w="108" w:type="dxa"/>
            <w:bottom w:w="0" w:type="dxa"/>
            <w:right w:w="108" w:type="dxa"/>
          </w:tblCellMar>
        </w:tblPrEx>
        <w:trPr>
          <w:trHeight w:val="43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医疗器械使用单位是否配备与其规模相适应的医疗器械质量管理机构或者质量管理人员。</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4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医疗器械质量管理机构或者质量管理人员是否承担本单位使用医疗器械的质量管理责任。</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524"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bookmarkStart w:id="0" w:name="RANGE!A9"/>
            <w:r>
              <w:rPr>
                <w:rFonts w:hint="eastAsia" w:ascii="仿宋_GB2312" w:hAnsi="宋体" w:cs="宋体"/>
                <w:color w:val="000000"/>
                <w:kern w:val="0"/>
                <w:sz w:val="24"/>
                <w:szCs w:val="24"/>
              </w:rPr>
              <w:t>3</w:t>
            </w:r>
            <w:bookmarkEnd w:id="0"/>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医疗器械使用单位是否建立覆盖质量管理全过程的使用质量管理制度。</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74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医疗器械使用单位发现所使用的医疗器械发生不良事件或者可疑不良事件的，是否按照医疗器械不良事件监测的有关规定报告并处理。</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PrEx>
        <w:trPr>
          <w:trHeight w:val="701"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医疗器械使用单位是否对医疗器械采购实行统一管理，由其指定的部门或者人员统一采购医疗器械，其他部门或者人员不得自行采购。</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70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1417"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7</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真实、完整、准确地记录进货查验情况。进货查验记录是否保存至医疗器械规定使用期限届满后2年或者使用终止后2年。大型医疗器械进货查验记录是否保存至医疗器械规定使用期限届满后5年或者使用终止后5年；植入性医疗器械进货查验记录是否永久保存。</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75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8</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医疗器械使用单位是否妥善保存购入第三类医疗器械的原始资料，确保信息具有可追溯性。</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41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9</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10</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医疗器械使用单位应当按照贮存条件、医疗器械有效期限等要求对贮存的医疗器械进行定期检查并记录。</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PrEx>
        <w:trPr>
          <w:trHeight w:val="544"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11</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医疗器械使用单位不得购进和使用未依法注册或者备案、无合格证明文件以及过期、失效、淘汰的医疗器械。</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12</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1125"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13</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医疗器械使用单位对植入和介入类医疗器械是否建立使用记录，植入性医疗器械使用记录永久保存，相关资料是否纳入信息化管理系统，确保信息可追溯。</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98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14</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841"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15</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对使用期限长的大型医疗器械，是否逐台建立使用档案，记录其使用、维护等情况。记录保存期限是否符合不得少于医疗器械规定使用期限届满后5年或者使用终止后5年的要求。</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994"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16</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17</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医疗器械使用单位发现使用的医疗器械存在安全隐患的，是否立即停止使用，通知检修；经检修仍不能达到使用安全标准的，是否停止使用，并按照有关规定处置。</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375"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18</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p>
        </w:tc>
      </w:tr>
      <w:tr>
        <w:tblPrEx>
          <w:tblLayout w:type="fixed"/>
          <w:tblCellMar>
            <w:top w:w="0" w:type="dxa"/>
            <w:left w:w="108" w:type="dxa"/>
            <w:bottom w:w="0" w:type="dxa"/>
            <w:right w:w="108" w:type="dxa"/>
          </w:tblCellMar>
        </w:tblPrEx>
        <w:trPr>
          <w:trHeight w:val="375"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19</w:t>
            </w:r>
          </w:p>
        </w:tc>
        <w:tc>
          <w:tcPr>
            <w:tcW w:w="72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szCs w:val="24"/>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7666"/>
    <w:rsid w:val="00762CBC"/>
    <w:rsid w:val="00FB7666"/>
    <w:rsid w:val="3F28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semiHidden/>
    <w:unhideWhenUsed/>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缩进 Char"/>
    <w:basedOn w:val="6"/>
    <w:link w:val="3"/>
    <w:semiHidden/>
    <w:qFormat/>
    <w:uiPriority w:val="99"/>
    <w:rPr>
      <w:rFonts w:ascii="Times New Roman" w:hAnsi="Times New Roman" w:eastAsia="宋体" w:cs="Times New Roman"/>
      <w:sz w:val="32"/>
      <w:szCs w:val="32"/>
    </w:rPr>
  </w:style>
  <w:style w:type="character" w:customStyle="1" w:styleId="11">
    <w:name w:val="正文首行缩进 2 Char"/>
    <w:basedOn w:val="10"/>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1496</Characters>
  <Lines>12</Lines>
  <Paragraphs>3</Paragraphs>
  <TotalTime>1</TotalTime>
  <ScaleCrop>false</ScaleCrop>
  <LinksUpToDate>false</LinksUpToDate>
  <CharactersWithSpaces>1755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2021-04-26T01:19:00Z</dcterms:created>
  <dc:creator>微软用户</dc:creator>
  <cp:lastModifiedBy>陈新</cp:lastModifiedBy>
  <dcterms:modified xsi:type="dcterms:W3CDTF">2021-04-26T09:20:50Z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