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附件6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2021年医疗器械监管部门风险隐患排查治理情况汇总表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上报单位（公章）：</w:t>
      </w:r>
      <w:r>
        <w:rPr>
          <w:rFonts w:hint="eastAsia" w:ascii="仿宋" w:hAnsi="仿宋" w:eastAsia="仿宋"/>
          <w:kern w:val="0"/>
          <w:sz w:val="28"/>
          <w:szCs w:val="28"/>
        </w:rPr>
        <w:t>填报日期：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01"/>
        <w:gridCol w:w="1984"/>
        <w:gridCol w:w="1984"/>
        <w:gridCol w:w="170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排查出监管风险隐患（个）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已消除监管风险隐患（个）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开展风险会商（次）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建立长效机制（个）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法规培训人次（企业）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法规培训人次（监管人员）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</w:t>
      </w:r>
      <w:r>
        <w:rPr>
          <w:rFonts w:hint="eastAsia" w:ascii="仿宋" w:hAnsi="仿宋" w:eastAsia="仿宋"/>
          <w:sz w:val="24"/>
          <w:szCs w:val="24"/>
        </w:rPr>
        <w:t>报</w:t>
      </w:r>
      <w:r>
        <w:rPr>
          <w:rFonts w:ascii="仿宋" w:hAnsi="仿宋" w:eastAsia="仿宋"/>
          <w:sz w:val="24"/>
          <w:szCs w:val="24"/>
        </w:rPr>
        <w:t>人：                                                      联系电话</w:t>
      </w:r>
    </w:p>
    <w:p>
      <w:pPr>
        <w:widowControl/>
        <w:adjustRightInd w:val="0"/>
        <w:snapToGrid w:val="0"/>
        <w:spacing w:line="32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adjustRightInd w:val="0"/>
        <w:snapToGrid w:val="0"/>
        <w:spacing w:line="32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adjustRightInd w:val="0"/>
        <w:snapToGrid w:val="0"/>
        <w:spacing w:line="320" w:lineRule="exact"/>
        <w:jc w:val="center"/>
        <w:rPr>
          <w:rFonts w:ascii="仿宋" w:hAnsi="仿宋" w:eastAsia="仿宋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9EB"/>
    <w:rsid w:val="00245CE8"/>
    <w:rsid w:val="007079EB"/>
    <w:rsid w:val="7F1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174</Characters>
  <Lines>1</Lines>
  <Paragraphs>1</Paragraphs>
  <TotalTime>1</TotalTime>
  <ScaleCrop>false</ScaleCrop>
  <LinksUpToDate>false</LinksUpToDate>
  <CharactersWithSpaces>203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2021-04-21T03:56:00Z</dcterms:created>
  <dc:creator>微软用户</dc:creator>
  <cp:lastModifiedBy>陈新</cp:lastModifiedBy>
  <dcterms:modified xsi:type="dcterms:W3CDTF">2021-04-25T02:41:10Z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